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Изучение кинематики Галактики по цефеидам из каталога Gaia DR2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Бобылев В. В., Байкова А. Т. (ГАО РАН),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Расторгуев А. С., Заболотских М. В. (ГАИШ МГУ)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Аннотация.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 xml:space="preserve">На основе новых, высокоточных астрометрических данных о классических цефеидах с собственными движениями из каталога 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Gaia</w:t>
      </w:r>
      <w:r>
        <w:rPr>
          <w:rFonts w:cs="Times New Roman" w:ascii="Times New Roman" w:hAnsi="Times New Roman"/>
          <w:i/>
          <w:sz w:val="24"/>
          <w:szCs w:val="24"/>
        </w:rPr>
        <w:t xml:space="preserve"> (версия DR2), произведено заметное уточнение параметров вращения Галактики, расстояния Солнца до центра Галактики, кривой вращения Галактики вплоть до галактоцентрических расстояний 20 кпк, а также уточнение параметров спиральной волны плотности. Примененные методы анализа данных позволили существенно повысить достоверность полученных результатов.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</w:rPr>
        <w:t xml:space="preserve">Описание результата: </w:t>
      </w:r>
      <w:r>
        <w:rPr>
          <w:rFonts w:cs="Times New Roman" w:ascii="Times New Roman" w:hAnsi="Times New Roman"/>
          <w:sz w:val="24"/>
          <w:szCs w:val="24"/>
        </w:rPr>
        <w:t xml:space="preserve">Изучена кинематика Галактики с использованием классических цефеид для которых расстояния определены на основе соотношения период-светимость, с собственными движениями из каталога Gaia DR2. Построена кривая вращения Галактики, где линейная скорость вращения на солнечном расстоянии составила </w:t>
      </w:r>
      <w:r>
        <w:rPr>
          <w:rFonts w:cs="Times New Roman" w:ascii="Times New Roman" w:hAnsi="Times New Roman"/>
          <w:sz w:val="24"/>
          <w:szCs w:val="24"/>
          <w:lang w:val="en-US"/>
        </w:rPr>
        <w:t>V</w:t>
      </w:r>
      <w:r>
        <w:rPr>
          <w:rFonts w:cs="Times New Roman" w:ascii="Times New Roman" w:hAnsi="Times New Roman"/>
          <w:sz w:val="24"/>
          <w:szCs w:val="24"/>
          <w:vertAlign w:val="subscript"/>
        </w:rPr>
        <w:t>0</w:t>
      </w:r>
      <w:r>
        <w:rPr>
          <w:rFonts w:cs="Times New Roman" w:ascii="Times New Roman" w:hAnsi="Times New Roman"/>
          <w:sz w:val="24"/>
          <w:szCs w:val="24"/>
        </w:rPr>
        <w:t xml:space="preserve">=240±3 км/с, а значение расстояния от Солнца до оси вращения Галактики найдено равным </w:t>
      </w:r>
      <w:r>
        <w:rPr>
          <w:rFonts w:cs="Times New Roman" w:ascii="Times New Roman" w:hAnsi="Times New Roman"/>
          <w:sz w:val="24"/>
          <w:szCs w:val="24"/>
          <w:lang w:val="en-US"/>
        </w:rPr>
        <w:t>R</w:t>
      </w:r>
      <w:r>
        <w:rPr>
          <w:rFonts w:cs="Times New Roman" w:ascii="Times New Roman" w:hAnsi="Times New Roman"/>
          <w:sz w:val="24"/>
          <w:szCs w:val="24"/>
          <w:vertAlign w:val="subscript"/>
        </w:rPr>
        <w:t>0</w:t>
      </w:r>
      <w:r>
        <w:rPr>
          <w:rFonts w:cs="Times New Roman" w:ascii="Times New Roman" w:hAnsi="Times New Roman"/>
          <w:sz w:val="24"/>
          <w:szCs w:val="24"/>
        </w:rPr>
        <w:t xml:space="preserve">=8.27±0.10 кпк. Проведен спектральный анализ радиальных и остаточных тангенциальных скоростей выборок цефеид различного возраста. По цефеидам моложе 120 млн лет найдены близкие оценки параметров спиральной волны плотности, полученные как по современным их положениям и скоростям, так и на момент их рождения в прошлом. Найденные по ним значения длины волны λ_{R, θ} лежат в диапазоне 2.4-3.0 кпк, угол закрутки спирали i_{R, θ} находится в диапазоне [-13◦, -10◦]  для четырехрукавной модели спирального узора, амплитуды скоростей радиальных и тангенциальных возмущений составляют ≈12 км/с и ≈9 км/с, соответственно. По современным скоростям цефеид старше 120 млн лет найдены очень большие значения длины волны λ_{R, θ} ≈ 5 кпк, что значительно отличается от того, что было получено по молодым цефеидам. 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3846830" cy="162814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83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Рис.1.</w:t>
      </w:r>
      <w:r>
        <w:rPr>
          <w:rFonts w:cs="Times New Roman" w:ascii="Times New Roman" w:hAnsi="Times New Roman"/>
          <w:sz w:val="20"/>
          <w:szCs w:val="20"/>
        </w:rPr>
        <w:t xml:space="preserve"> Круговые скорости вращения цефеид (серые точки с барами ошибок), дана найденная кривая вращения Галактики с указанием доверительных интервалов (серая линия), кривая вращения согласно модели </w:t>
      </w:r>
      <w:r>
        <w:rPr>
          <w:rFonts w:cs="Times New Roman" w:ascii="Times New Roman" w:hAnsi="Times New Roman"/>
          <w:sz w:val="20"/>
          <w:szCs w:val="20"/>
          <w:lang w:val="en-US"/>
        </w:rPr>
        <w:t>III</w:t>
      </w:r>
      <w:r>
        <w:rPr>
          <w:rFonts w:cs="Times New Roman" w:ascii="Times New Roman" w:hAnsi="Times New Roman"/>
          <w:sz w:val="20"/>
          <w:szCs w:val="20"/>
        </w:rPr>
        <w:t xml:space="preserve"> согласно работе Байковой, Бобылева (2016), вертикальной линией показано положение Солнца. </w:t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Тема: 0041-2019-0021</w:t>
        <w:tab/>
        <w:t>"ЭКЗОСИСТЕМА" - Исследование динамики и эволюции Солнечной и экзопланетных систем, структуры и кинематики Галактики</w:t>
      </w:r>
    </w:p>
    <w:p>
      <w:pPr>
        <w:pStyle w:val="Normal"/>
        <w:bidi w:val="0"/>
        <w:spacing w:lineRule="atLeast" w:line="220" w:before="0" w:after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tLeast" w:line="220" w:before="0" w:after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tLeast" w:line="220" w:before="0" w:after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tLeast" w:line="220" w:before="0" w:after="0"/>
        <w:jc w:val="left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</w:rPr>
        <w:t>Публикации</w:t>
      </w:r>
      <w:r>
        <w:rPr>
          <w:rFonts w:cs="Times New Roman" w:ascii="Times New Roman" w:hAnsi="Times New Roman"/>
          <w:lang w:val="en-US"/>
        </w:rPr>
        <w:t>:</w:t>
      </w:r>
    </w:p>
    <w:p>
      <w:pPr>
        <w:pStyle w:val="Normal"/>
        <w:bidi w:val="0"/>
        <w:spacing w:lineRule="atLeast" w:line="220" w:before="0" w:after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en-US"/>
        </w:rPr>
        <w:t xml:space="preserve">    </w:t>
      </w:r>
      <w:r>
        <w:rPr>
          <w:rFonts w:cs="Times New Roman" w:ascii="Times New Roman" w:hAnsi="Times New Roman"/>
          <w:lang w:val="en-US"/>
        </w:rPr>
        <w:t>1. V.V. Bobylev, A.T. Bajkova, A.S. Rastorguev, and M.V. Zabolotskikh, 2021, Analysis of galaxy kinematics based on Cepheids from the Gaia DR2 Catalogue. MNRAS</w:t>
      </w:r>
      <w:r>
        <w:rPr>
          <w:rFonts w:cs="Times New Roman" w:ascii="Times New Roman" w:hAnsi="Times New Roman"/>
        </w:rPr>
        <w:t>, 502, 4377-4391.</w:t>
      </w:r>
    </w:p>
    <w:p>
      <w:pPr>
        <w:pStyle w:val="Normal"/>
        <w:bidi w:val="0"/>
        <w:spacing w:lineRule="atLeast" w:line="220" w:before="0" w:after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2. Бобылев В.В., Байкова А.Т., 2021, Оценка радиальной и вертикальной шкал тонкого диска Галактики по цефеидам. Письма в Астрон. журн., 47, 557-567.</w:t>
      </w:r>
    </w:p>
    <w:p>
      <w:pPr>
        <w:pStyle w:val="Normal"/>
        <w:bidi w:val="0"/>
        <w:spacing w:lineRule="atLeast" w:line="220" w:before="0" w:after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Бобылев В.В., Байкова А.Т., 2021, Особенности трехмерной кинематики классических цефеид.  </w:t>
      </w:r>
      <w:bookmarkStart w:id="0" w:name="_Hlk87286206"/>
      <w:r>
        <w:rPr>
          <w:rFonts w:cs="Times New Roman" w:ascii="Times New Roman" w:hAnsi="Times New Roman"/>
        </w:rPr>
        <w:t>Письма в Астрон. Журн., 47, 634-645.</w:t>
      </w:r>
      <w:bookmarkEnd w:id="0"/>
    </w:p>
    <w:p>
      <w:pPr>
        <w:pStyle w:val="Normal"/>
        <w:bidi w:val="0"/>
        <w:spacing w:lineRule="atLeast" w:line="220" w:before="0" w:after="0"/>
        <w:jc w:val="left"/>
        <w:rPr>
          <w:rFonts w:ascii="Times New Roman" w:hAnsi="Times New Roman" w:cs="Times New Roman"/>
        </w:rPr>
      </w:pPr>
      <w:r>
        <w:rPr/>
      </w:r>
    </w:p>
    <w:p>
      <w:pPr>
        <w:pStyle w:val="Normal"/>
        <w:bidi w:val="0"/>
        <w:spacing w:lineRule="atLeast" w:line="220" w:before="0" w:after="0"/>
        <w:jc w:val="left"/>
        <w:rPr>
          <w:rFonts w:ascii="Times New Roman" w:hAnsi="Times New Roman" w:cs="Times New Roman"/>
        </w:rPr>
      </w:pPr>
      <w:r>
        <w:rPr/>
      </w:r>
    </w:p>
    <w:p>
      <w:pPr>
        <w:pStyle w:val="Normal"/>
        <w:bidi w:val="0"/>
        <w:spacing w:lineRule="atLeast" w:line="220" w:before="0" w:after="0"/>
        <w:jc w:val="left"/>
        <w:rPr>
          <w:rFonts w:ascii="Times New Roman" w:hAnsi="Times New Roman" w:cs="Times New Roman"/>
        </w:rPr>
      </w:pPr>
      <w:r>
        <w:rPr/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Эволюция и выживаемость рассеянных звездных скоплений в моделях с каспом плотности и низкой эффективностью звездообразования</w:t>
      </w:r>
    </w:p>
    <w:p>
      <w:pPr>
        <w:pStyle w:val="Normal"/>
        <w:bidi w:val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Бородина О.И.</w:t>
      </w:r>
      <w:bookmarkStart w:id="1" w:name="_GoBack1"/>
      <w:bookmarkEnd w:id="1"/>
      <w:r>
        <w:rPr>
          <w:rFonts w:cs="Times New Roman" w:ascii="Times New Roman" w:hAnsi="Times New Roman"/>
        </w:rPr>
        <w:t xml:space="preserve"> (ИНАСАН), Поляченко Е.В. (ИНАСАН)</w:t>
      </w:r>
    </w:p>
    <w:p>
      <w:pPr>
        <w:pStyle w:val="Normal"/>
        <w:bidi w:val="0"/>
        <w:jc w:val="center"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</w:rPr>
        <w:t>Shukirgaliyev B.</w:t>
      </w:r>
      <w:r>
        <w:rPr>
          <w:rFonts w:cs="Times New Roman" w:ascii="Times New Roman" w:hAnsi="Times New Roman"/>
          <w:vertAlign w:val="superscript"/>
        </w:rPr>
        <w:t>1,2,3</w:t>
      </w:r>
      <w:r>
        <w:rPr>
          <w:rFonts w:cs="Times New Roman" w:ascii="Times New Roman" w:hAnsi="Times New Roman"/>
        </w:rPr>
        <w:t>, Otebay A.</w:t>
      </w:r>
      <w:r>
        <w:rPr>
          <w:rFonts w:cs="Times New Roman" w:ascii="Times New Roman" w:hAnsi="Times New Roman"/>
          <w:vertAlign w:val="superscript"/>
        </w:rPr>
        <w:t>3,2,1</w:t>
      </w:r>
      <w:r>
        <w:rPr>
          <w:rFonts w:cs="Times New Roman" w:ascii="Times New Roman" w:hAnsi="Times New Roman"/>
        </w:rPr>
        <w:t>, Sobolenko M.</w:t>
      </w:r>
      <w:r>
        <w:rPr>
          <w:rFonts w:cs="Times New Roman" w:ascii="Times New Roman" w:hAnsi="Times New Roman"/>
          <w:vertAlign w:val="superscript"/>
        </w:rPr>
        <w:t>4</w:t>
      </w:r>
      <w:r>
        <w:rPr>
          <w:rFonts w:cs="Times New Roman" w:ascii="Times New Roman" w:hAnsi="Times New Roman"/>
        </w:rPr>
        <w:t>, Ishchenko M.</w:t>
      </w:r>
      <w:r>
        <w:rPr>
          <w:rFonts w:cs="Times New Roman" w:ascii="Times New Roman" w:hAnsi="Times New Roman"/>
          <w:vertAlign w:val="superscript"/>
        </w:rPr>
        <w:t>4</w:t>
      </w:r>
      <w:r>
        <w:rPr>
          <w:rFonts w:cs="Times New Roman" w:ascii="Times New Roman" w:hAnsi="Times New Roman"/>
        </w:rPr>
        <w:t>, Panamarev T.</w:t>
      </w:r>
      <w:r>
        <w:rPr>
          <w:rFonts w:cs="Times New Roman" w:ascii="Times New Roman" w:hAnsi="Times New Roman"/>
          <w:vertAlign w:val="superscript"/>
        </w:rPr>
        <w:t>5,2,1</w:t>
      </w:r>
      <w:r>
        <w:rPr>
          <w:rFonts w:cs="Times New Roman" w:ascii="Times New Roman" w:hAnsi="Times New Roman"/>
        </w:rPr>
        <w:t>, Myrzakul S.</w:t>
      </w:r>
      <w:r>
        <w:rPr>
          <w:rFonts w:cs="Times New Roman" w:ascii="Times New Roman" w:hAnsi="Times New Roman"/>
          <w:vertAlign w:val="superscript"/>
        </w:rPr>
        <w:t>6,7,1</w:t>
      </w:r>
      <w:r>
        <w:rPr>
          <w:rFonts w:cs="Times New Roman" w:ascii="Times New Roman" w:hAnsi="Times New Roman"/>
        </w:rPr>
        <w:t>, Kalambay M.</w:t>
      </w:r>
      <w:r>
        <w:rPr>
          <w:rFonts w:cs="Times New Roman" w:ascii="Times New Roman" w:hAnsi="Times New Roman"/>
          <w:vertAlign w:val="superscript"/>
        </w:rPr>
        <w:t>3,2,1</w:t>
      </w:r>
      <w:r>
        <w:rPr>
          <w:rFonts w:cs="Times New Roman" w:ascii="Times New Roman" w:hAnsi="Times New Roman"/>
        </w:rPr>
        <w:t>, Naurzbayeva A.</w:t>
      </w:r>
      <w:r>
        <w:rPr>
          <w:rFonts w:cs="Times New Roman" w:ascii="Times New Roman" w:hAnsi="Times New Roman"/>
          <w:vertAlign w:val="superscript"/>
        </w:rPr>
        <w:t>3,1,2</w:t>
      </w:r>
      <w:r>
        <w:rPr>
          <w:rFonts w:cs="Times New Roman" w:ascii="Times New Roman" w:hAnsi="Times New Roman"/>
        </w:rPr>
        <w:t>, Abdikamalov E.</w:t>
      </w:r>
      <w:r>
        <w:rPr>
          <w:rFonts w:cs="Times New Roman" w:ascii="Times New Roman" w:hAnsi="Times New Roman"/>
          <w:vertAlign w:val="superscript"/>
        </w:rPr>
        <w:t>8,1</w:t>
      </w:r>
      <w:r>
        <w:rPr>
          <w:rFonts w:cs="Times New Roman" w:ascii="Times New Roman" w:hAnsi="Times New Roman"/>
        </w:rPr>
        <w:t>, Banerjee S.</w:t>
      </w:r>
      <w:r>
        <w:rPr>
          <w:rFonts w:cs="Times New Roman" w:ascii="Times New Roman" w:hAnsi="Times New Roman"/>
          <w:vertAlign w:val="superscript"/>
        </w:rPr>
        <w:t>9,10</w:t>
      </w:r>
      <w:r>
        <w:rPr>
          <w:rFonts w:cs="Times New Roman" w:ascii="Times New Roman" w:hAnsi="Times New Roman"/>
        </w:rPr>
        <w:t>, Berczik P.</w:t>
      </w:r>
      <w:r>
        <w:rPr>
          <w:rFonts w:cs="Times New Roman" w:ascii="Times New Roman" w:hAnsi="Times New Roman"/>
          <w:vertAlign w:val="superscript"/>
        </w:rPr>
        <w:t>11,12,4</w:t>
      </w:r>
      <w:r>
        <w:rPr>
          <w:rFonts w:cs="Times New Roman" w:ascii="Times New Roman" w:hAnsi="Times New Roman"/>
        </w:rPr>
        <w:t>, Spurzem R.</w:t>
      </w:r>
      <w:r>
        <w:rPr>
          <w:rFonts w:cs="Times New Roman" w:ascii="Times New Roman" w:hAnsi="Times New Roman"/>
          <w:vertAlign w:val="superscript"/>
        </w:rPr>
        <w:t>11,12,13</w:t>
      </w:r>
      <w:r>
        <w:rPr>
          <w:rFonts w:cs="Times New Roman" w:ascii="Times New Roman" w:hAnsi="Times New Roman"/>
        </w:rPr>
        <w:t>, Just A.</w:t>
      </w:r>
      <w:r>
        <w:rPr>
          <w:rFonts w:cs="Times New Roman" w:ascii="Times New Roman" w:hAnsi="Times New Roman"/>
          <w:vertAlign w:val="superscript"/>
        </w:rPr>
        <w:t>12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vertAlign w:val="superscript"/>
          <w:lang w:val="en-US"/>
        </w:rPr>
        <w:t>1</w:t>
      </w:r>
      <w:r>
        <w:rPr>
          <w:rFonts w:cs="Times New Roman" w:ascii="Times New Roman" w:hAnsi="Times New Roman"/>
          <w:sz w:val="20"/>
          <w:szCs w:val="20"/>
          <w:lang w:val="en-US"/>
        </w:rPr>
        <w:t xml:space="preserve"> Energetic Cosmos Laboratory, Nazarbayev University, 53 Kabanbay Batyr ave., 010000, Nur-sultan, Kazakhstan ; 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vertAlign w:val="superscript"/>
          <w:lang w:val="en-US"/>
        </w:rPr>
        <w:t>2</w:t>
      </w:r>
      <w:r>
        <w:rPr>
          <w:rFonts w:cs="Times New Roman" w:ascii="Times New Roman" w:hAnsi="Times New Roman"/>
          <w:sz w:val="20"/>
          <w:szCs w:val="20"/>
          <w:lang w:val="en-US"/>
        </w:rPr>
        <w:t xml:space="preserve"> Fesenkov Astrophysical Institute, 23 Observatory str., 050020, Almaty, Kazakhstan; 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vertAlign w:val="superscript"/>
          <w:lang w:val="en-US"/>
        </w:rPr>
        <w:t>3</w:t>
      </w:r>
      <w:r>
        <w:rPr>
          <w:rFonts w:cs="Times New Roman" w:ascii="Times New Roman" w:hAnsi="Times New Roman"/>
          <w:sz w:val="20"/>
          <w:szCs w:val="20"/>
          <w:lang w:val="en-US"/>
        </w:rPr>
        <w:t xml:space="preserve"> Al-Farabi Kazakh National University, 71 Al-Farabi ave., 050040, Almaty, Kazakhstan; 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vertAlign w:val="superscript"/>
          <w:lang w:val="en-US"/>
        </w:rPr>
        <w:t>4</w:t>
      </w:r>
      <w:r>
        <w:rPr>
          <w:rFonts w:cs="Times New Roman" w:ascii="Times New Roman" w:hAnsi="Times New Roman"/>
          <w:sz w:val="20"/>
          <w:szCs w:val="20"/>
          <w:lang w:val="en-US"/>
        </w:rPr>
        <w:t xml:space="preserve"> Main Astronomical Observatory, National Academy of Sciences of Ukraine, 27 Akademika Zabolotnoho St., 03143, Kyiv, Ukraine; </w:t>
      </w:r>
      <w:r>
        <w:rPr>
          <w:rFonts w:cs="Times New Roman" w:ascii="Times New Roman" w:hAnsi="Times New Roman"/>
          <w:sz w:val="20"/>
          <w:szCs w:val="20"/>
          <w:vertAlign w:val="superscript"/>
          <w:lang w:val="en-US"/>
        </w:rPr>
        <w:t>5</w:t>
      </w:r>
      <w:r>
        <w:rPr>
          <w:rFonts w:cs="Times New Roman" w:ascii="Times New Roman" w:hAnsi="Times New Roman"/>
          <w:sz w:val="20"/>
          <w:szCs w:val="20"/>
          <w:lang w:val="en-US"/>
        </w:rPr>
        <w:t xml:space="preserve"> Rudolf Peierls Center for Theoretical Physics, University of Oxford, Parks Road, Oxford, OX1 3PU, UK; </w:t>
      </w:r>
      <w:r>
        <w:rPr>
          <w:rFonts w:cs="Times New Roman" w:ascii="Times New Roman" w:hAnsi="Times New Roman"/>
          <w:sz w:val="20"/>
          <w:szCs w:val="20"/>
          <w:vertAlign w:val="superscript"/>
          <w:lang w:val="en-US"/>
        </w:rPr>
        <w:t>6</w:t>
      </w:r>
      <w:r>
        <w:rPr>
          <w:rFonts w:cs="Times New Roman" w:ascii="Times New Roman" w:hAnsi="Times New Roman"/>
          <w:sz w:val="20"/>
          <w:szCs w:val="20"/>
          <w:lang w:val="en-US"/>
        </w:rPr>
        <w:t xml:space="preserve"> Ratbay Myrzakulov Eurasian International Centre for Theoretical Physics, 010009, Nur-Sultan, Kazakhstan; 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vertAlign w:val="superscript"/>
          <w:lang w:val="en-US"/>
        </w:rPr>
        <w:t>7</w:t>
      </w:r>
      <w:r>
        <w:rPr>
          <w:rFonts w:cs="Times New Roman" w:ascii="Times New Roman" w:hAnsi="Times New Roman"/>
          <w:sz w:val="20"/>
          <w:szCs w:val="20"/>
          <w:lang w:val="en-US"/>
        </w:rPr>
        <w:t xml:space="preserve"> Center for Theoretical Physics, Eurasian National University, 010008, Nur-Sultan, Kazakhstan; </w:t>
      </w:r>
      <w:r>
        <w:rPr>
          <w:rFonts w:cs="Times New Roman" w:ascii="Times New Roman" w:hAnsi="Times New Roman"/>
          <w:sz w:val="20"/>
          <w:szCs w:val="20"/>
          <w:vertAlign w:val="superscript"/>
          <w:lang w:val="en-US"/>
        </w:rPr>
        <w:t>8</w:t>
      </w:r>
      <w:r>
        <w:rPr>
          <w:rFonts w:cs="Times New Roman" w:ascii="Times New Roman" w:hAnsi="Times New Roman"/>
          <w:sz w:val="20"/>
          <w:szCs w:val="20"/>
          <w:lang w:val="en-US"/>
        </w:rPr>
        <w:t xml:space="preserve"> Physics Department, Nazarbayev University, 53 Kabanbay Batyr ave., 010000, Nur-sultan, Kazakhstan; </w:t>
      </w:r>
      <w:r>
        <w:rPr>
          <w:rFonts w:cs="Times New Roman" w:ascii="Times New Roman" w:hAnsi="Times New Roman"/>
          <w:sz w:val="20"/>
          <w:szCs w:val="20"/>
          <w:vertAlign w:val="superscript"/>
          <w:lang w:val="en-US"/>
        </w:rPr>
        <w:t>9</w:t>
      </w:r>
      <w:r>
        <w:rPr>
          <w:rFonts w:cs="Times New Roman" w:ascii="Times New Roman" w:hAnsi="Times New Roman"/>
          <w:sz w:val="20"/>
          <w:szCs w:val="20"/>
          <w:lang w:val="en-US"/>
        </w:rPr>
        <w:t xml:space="preserve"> Helmholtz-Institut für Strahlen- und Kernphysik, Nussallee 14-16, 53115, Bonn, Germany; Argelander-Institut für Astronomie, Auf dem Hügel 71, 53121, Bonn, Germany; </w:t>
      </w:r>
      <w:r>
        <w:rPr>
          <w:rFonts w:cs="Times New Roman" w:ascii="Times New Roman" w:hAnsi="Times New Roman"/>
          <w:sz w:val="20"/>
          <w:szCs w:val="20"/>
          <w:vertAlign w:val="superscript"/>
          <w:lang w:val="en-US"/>
        </w:rPr>
        <w:t>10</w:t>
      </w:r>
      <w:r>
        <w:rPr>
          <w:rFonts w:cs="Times New Roman" w:ascii="Times New Roman" w:hAnsi="Times New Roman"/>
          <w:sz w:val="20"/>
          <w:szCs w:val="20"/>
          <w:lang w:val="en-US"/>
        </w:rPr>
        <w:t xml:space="preserve"> National Astronomical Observatories and Key Laboratory of Computational Astrophysics, Chinese Academy of Sciences, 20A Datun Rd., Chaoyang District, Beijing, 100101, PR China; </w:t>
      </w:r>
      <w:r>
        <w:rPr>
          <w:rFonts w:cs="Times New Roman" w:ascii="Times New Roman" w:hAnsi="Times New Roman"/>
          <w:sz w:val="20"/>
          <w:szCs w:val="20"/>
          <w:vertAlign w:val="superscript"/>
          <w:lang w:val="en-US"/>
        </w:rPr>
        <w:t>11</w:t>
      </w:r>
      <w:r>
        <w:rPr>
          <w:rFonts w:cs="Times New Roman" w:ascii="Times New Roman" w:hAnsi="Times New Roman"/>
          <w:sz w:val="20"/>
          <w:szCs w:val="20"/>
          <w:lang w:val="en-US"/>
        </w:rPr>
        <w:t xml:space="preserve"> Astronomisches Rechen-Institut am Zentrum für Astronomie der Universität Heidelberg, Mönchhofstrasse 12-14, 69120, Heidelberg, Germany; </w:t>
      </w:r>
      <w:r>
        <w:rPr>
          <w:rFonts w:cs="Times New Roman" w:ascii="Times New Roman" w:hAnsi="Times New Roman"/>
          <w:sz w:val="20"/>
          <w:szCs w:val="20"/>
          <w:vertAlign w:val="superscript"/>
          <w:lang w:val="en-US"/>
        </w:rPr>
        <w:t>12</w:t>
      </w:r>
      <w:r>
        <w:rPr>
          <w:rFonts w:cs="Times New Roman" w:ascii="Times New Roman" w:hAnsi="Times New Roman"/>
          <w:sz w:val="20"/>
          <w:szCs w:val="20"/>
          <w:lang w:val="en-US"/>
        </w:rPr>
        <w:t xml:space="preserve"> National Astronomical Observatories and Key Laboratory of Computational Astrophysics, Chinese Academy of Sciences, 20A Datun Rd., Chaoyang District, Beijing, 100101, PR China; 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vertAlign w:val="superscript"/>
          <w:lang w:val="en-US"/>
        </w:rPr>
        <w:t>13</w:t>
      </w:r>
      <w:r>
        <w:rPr>
          <w:rFonts w:cs="Times New Roman" w:ascii="Times New Roman" w:hAnsi="Times New Roman"/>
          <w:sz w:val="20"/>
          <w:szCs w:val="20"/>
          <w:lang w:val="en-US"/>
        </w:rPr>
        <w:t xml:space="preserve"> Kavli Institute for Astronomy and Astrophysics at Peking University, 5 Yiheyuan Rd., Haidian District, 100871, Beijing, PR China</w:t>
      </w:r>
    </w:p>
    <w:p>
      <w:pPr>
        <w:pStyle w:val="Normal"/>
        <w:bidi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</w:rPr>
        <w:t>Для понимания истории звездообразования в галактиках в настоящее время активно изучаются модели рассеянных звездных скоплений с низкой эффективностью звездообразования (SFE). В них лишь небольшая часть газа успевает превратиться в звезды, а остальной газ выметается под действием звездного ветра, светового давления и ионизирующего излучения массивных звезд еще до вспышек первых сверхновых. В данной работе исследуется вопрос о том, как влияют профили плотности первоначального газового облака на последующую эволюцию звездных скоплений. Мы используем профили плотности газа с каспом и соответствующие им профили плотности Денена для звездных скоплений с различной степенью концентрации вещества в центре. С помощью большого числа N-body моделей с разными показателями концентрации и SFE мы определяем эволюцию массы скоплений после мгновенного выброса газа и делаем выводы относительно их выживаемости.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113030</wp:posOffset>
            </wp:positionH>
            <wp:positionV relativeFrom="paragraph">
              <wp:posOffset>50800</wp:posOffset>
            </wp:positionV>
            <wp:extent cx="2084705" cy="2070735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07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ind w:right="-1" w:hanging="0"/>
        <w:jc w:val="center"/>
        <w:rPr/>
      </w:pPr>
      <w:r>
        <w:rPr/>
      </w:r>
    </w:p>
    <w:p>
      <w:pPr>
        <w:pStyle w:val="Normal"/>
        <w:bidi w:val="0"/>
        <w:ind w:right="-1" w:hanging="0"/>
        <w:jc w:val="both"/>
        <w:rPr/>
      </w:pPr>
      <w:r>
        <w:rPr/>
        <w:t xml:space="preserve">Рисунок - Доля первоначальной массы звездных скоплений, оставшаяся гравитационно связанной после бурной релаксации, вызванной быстрым выметанием газа при рождении первых массивных звезд.  В используемых моделях Денена варьируются показатели каспа γ и SFE. Некоторые из моделей без каспа (γ=0) и SFE </w:t>
      </w:r>
      <w:r>
        <w:rPr>
          <w:rFonts w:eastAsia="Liberation Serif" w:cs="Liberation Serif"/>
        </w:rPr>
        <w:t>≤</w:t>
      </w:r>
      <w:r>
        <w:rPr/>
        <w:t xml:space="preserve"> 0.03 разрушаются вскоре после окончания бурной релаксации.</w:t>
      </w:r>
    </w:p>
    <w:p>
      <w:pPr>
        <w:pStyle w:val="PlainText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lainText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lainText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lainText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Публикации:</w:t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B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en-US"/>
        </w:rPr>
        <w:t>Shukirgaliyev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A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en-US"/>
        </w:rPr>
        <w:t>Otebay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M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en-US"/>
        </w:rPr>
        <w:t>Sobolenko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M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en-US"/>
        </w:rPr>
        <w:t>Ishchenko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O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en-US"/>
        </w:rPr>
        <w:t>Borodina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T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en-US"/>
        </w:rPr>
        <w:t>Panamarev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S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en-US"/>
        </w:rPr>
        <w:t>Myrzakul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M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en-US"/>
        </w:rPr>
        <w:t>Kalambay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A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en-US"/>
        </w:rPr>
        <w:t>Naurzbayeva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E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en-US"/>
        </w:rPr>
        <w:t>Abdikamalov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E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en-US"/>
        </w:rPr>
        <w:t>Polyachenko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S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en-US"/>
        </w:rPr>
        <w:t>Banerjee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P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en-US"/>
        </w:rPr>
        <w:t>Berczik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R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en-US"/>
        </w:rPr>
        <w:t>Spurzem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and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A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en-US"/>
        </w:rPr>
        <w:t>Just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en-US"/>
        </w:rPr>
        <w:t>Bound mass of Dehnen models with a centrally peaked star formation efficiency // Astronomy &amp; Astrophysics, Volume 654, id.A53, 13 pp., 654, A53.</w:t>
      </w:r>
    </w:p>
    <w:p>
      <w:pPr>
        <w:pStyle w:val="Normal"/>
        <w:widowControl/>
        <w:suppressAutoHyphens w:val="false"/>
        <w:bidi w:val="0"/>
        <w:spacing w:lineRule="auto" w:line="276" w:before="0" w:after="20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nsola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Free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PlainText">
    <w:name w:val="Plain Text"/>
    <w:basedOn w:val="Normal"/>
    <w:qFormat/>
    <w:pPr/>
    <w:rPr>
      <w:rFonts w:ascii="Consolas" w:hAnsi="Consolas" w:cs="Consolas"/>
      <w:sz w:val="21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LibreOffice/7.2.3.2$Linux_X86_64 LibreOffice_project/a49ed84f3d037188bbbcb324f9afc3796d887539</Application>
  <AppVersion>15.0000</AppVersion>
  <Pages>2</Pages>
  <Words>834</Words>
  <Characters>5540</Characters>
  <CharactersWithSpaces>6369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2021-12-17T22:06:41Z</dcterms:created>
  <dc:creator/>
  <dc:description/>
  <dc:language>en-US</dc:language>
  <cp:lastModifiedBy/>
  <dcterms:modified xsi:type="dcterms:W3CDTF">2021-12-17T22:09:39Z</dcterms:modified>
  <cp:revision>1</cp:revision>
  <dc:subject/>
  <dc:title/>
</cp:coreProperties>
</file>