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b/>
          <w:bCs/>
          <w:i/>
          <w:i/>
          <w:iCs/>
          <w:sz w:val="28"/>
          <w:szCs w:val="28"/>
          <w:u w:val="single"/>
        </w:rPr>
      </w:pPr>
      <w:r>
        <w:rPr>
          <w:rFonts w:ascii="Times New Roman" w:hAnsi="Times New Roman"/>
          <w:b/>
          <w:bCs/>
          <w:sz w:val="24"/>
          <w:szCs w:val="24"/>
        </w:rPr>
      </w:r>
    </w:p>
    <w:p>
      <w:pPr>
        <w:pStyle w:val="Normal"/>
        <w:jc w:val="center"/>
        <w:rPr>
          <w:rFonts w:ascii="Times New Roman" w:hAnsi="Times New Roman"/>
          <w:b/>
          <w:b/>
          <w:bCs/>
          <w:sz w:val="24"/>
          <w:szCs w:val="24"/>
        </w:rPr>
      </w:pPr>
      <w:r>
        <w:rPr>
          <w:rFonts w:ascii="Times New Roman" w:hAnsi="Times New Roman"/>
          <w:b/>
          <w:bCs/>
          <w:sz w:val="24"/>
          <w:szCs w:val="24"/>
        </w:rPr>
      </w:r>
    </w:p>
    <w:p>
      <w:pPr>
        <w:pStyle w:val="ListParagraph"/>
        <w:numPr>
          <w:ilvl w:val="0"/>
          <w:numId w:val="1"/>
        </w:numPr>
        <w:jc w:val="center"/>
        <w:rPr/>
      </w:pPr>
      <w:r>
        <w:rPr>
          <w:rFonts w:ascii="Times New Roman" w:hAnsi="Times New Roman"/>
          <w:b/>
          <w:bCs/>
          <w:sz w:val="24"/>
          <w:szCs w:val="24"/>
        </w:rPr>
        <w:t>МОДЕЛЬ ДИНАМО СЕВЕРО–ЮЖНОЙ АСИММЕТРИИ СОЛНЕЧНОЙ АКТИВНОСТИ</w:t>
      </w:r>
    </w:p>
    <w:p>
      <w:pPr>
        <w:pStyle w:val="Normal"/>
        <w:jc w:val="center"/>
        <w:rPr/>
      </w:pPr>
      <w:r>
        <w:rPr/>
      </w:r>
    </w:p>
    <w:p>
      <w:pPr>
        <w:pStyle w:val="Normal"/>
        <w:jc w:val="center"/>
        <w:rPr>
          <w:rFonts w:ascii="Times New Roman" w:hAnsi="Times New Roman"/>
          <w:bCs/>
          <w:sz w:val="24"/>
          <w:szCs w:val="24"/>
        </w:rPr>
      </w:pPr>
      <w:r>
        <w:rPr>
          <w:rFonts w:ascii="Times New Roman" w:hAnsi="Times New Roman"/>
          <w:bCs/>
          <w:sz w:val="24"/>
          <w:szCs w:val="24"/>
        </w:rPr>
        <w:t>Л.Л. Кичатинов (ИСЗФ СО РАН, ГАО РАН), А.И. Хлыстова</w:t>
      </w:r>
      <w:r>
        <w:rPr>
          <w:rFonts w:ascii="Times New Roman" w:hAnsi="Times New Roman"/>
          <w:bCs/>
          <w:sz w:val="24"/>
          <w:szCs w:val="24"/>
          <w:vertAlign w:val="superscript"/>
        </w:rPr>
        <w:t xml:space="preserve"> </w:t>
      </w:r>
      <w:r>
        <w:rPr/>
        <w:t>(</w:t>
      </w:r>
      <w:bookmarkStart w:id="0" w:name="_GoBack"/>
      <w:bookmarkEnd w:id="0"/>
      <w:r>
        <w:rPr>
          <w:rFonts w:ascii="Times New Roman" w:hAnsi="Times New Roman"/>
          <w:bCs/>
          <w:sz w:val="24"/>
          <w:szCs w:val="24"/>
        </w:rPr>
        <w:t>ИСЗФ СО РАН)</w:t>
      </w:r>
    </w:p>
    <w:p>
      <w:pPr>
        <w:pStyle w:val="Normal"/>
        <w:jc w:val="center"/>
        <w:rPr>
          <w:rFonts w:ascii="Times New Roman" w:hAnsi="Times New Roman"/>
          <w:bCs/>
          <w:sz w:val="24"/>
          <w:szCs w:val="24"/>
        </w:rPr>
      </w:pPr>
      <w:r>
        <w:rPr>
          <w:rFonts w:ascii="Times New Roman" w:hAnsi="Times New Roman"/>
          <w:bCs/>
          <w:sz w:val="24"/>
          <w:szCs w:val="24"/>
        </w:rPr>
      </w:r>
    </w:p>
    <w:p>
      <w:pPr>
        <w:pStyle w:val="Normal"/>
        <w:ind w:firstLine="567"/>
        <w:jc w:val="both"/>
        <w:rPr/>
      </w:pPr>
      <w:r>
        <w:rPr>
          <w:rFonts w:ascii="Times New Roman" w:hAnsi="Times New Roman"/>
          <w:sz w:val="24"/>
          <w:szCs w:val="24"/>
          <w:lang w:val="ru-RU" w:eastAsia="ru-RU"/>
        </w:rPr>
        <w:t>Предложена модель динамо северо–южной асимметрии солнечной активности. Физический механизм северо-южной асимметрии, реализованный в количественной (численной) модели, заключается в возбуждении динамо-моды с квадрупольным типом экваториальной симметрии доминирующей дипольной модой через флуктуации альфа-эффекта. Наложение дипольной и квадрупольной мод дает асимметричное магнитное поле.</w:t>
      </w:r>
    </w:p>
    <w:p>
      <w:pPr>
        <w:pStyle w:val="Normal"/>
        <w:rPr/>
      </w:pPr>
      <w:r>
        <w:rPr/>
      </w:r>
    </w:p>
    <w:p>
      <w:pPr>
        <w:pStyle w:val="Normal"/>
        <w:jc w:val="both"/>
        <w:rPr>
          <w:rStyle w:val="InternetLink"/>
          <w:rFonts w:ascii="Times New Roman" w:hAnsi="Times New Roman"/>
          <w:color w:val="000000"/>
          <w:sz w:val="24"/>
          <w:szCs w:val="24"/>
          <w:lang w:val="en-US"/>
        </w:rPr>
      </w:pPr>
      <w:r>
        <w:rPr>
          <w:rFonts w:ascii="Times New Roman" w:hAnsi="Times New Roman"/>
          <w:color w:val="000000"/>
          <w:sz w:val="24"/>
          <w:szCs w:val="24"/>
          <w:lang w:val="en-US"/>
        </w:rPr>
        <w:t xml:space="preserve">Kitchatinov L., Khlystova A. Dynamo Model for North–South Asymmetry of Solar Activity // Astrophys. J. 2021. Vol. 919. no 1. id.36. 10 pp. DOI: </w:t>
      </w:r>
      <w:r>
        <w:rPr>
          <w:rStyle w:val="InternetLink"/>
          <w:rFonts w:ascii="Times New Roman" w:hAnsi="Times New Roman"/>
          <w:color w:val="000000"/>
          <w:sz w:val="24"/>
          <w:szCs w:val="24"/>
          <w:u w:val="none"/>
          <w:lang w:val="en-US"/>
        </w:rPr>
        <w:t>10.3847/1538-4357/ac1113.</w:t>
      </w:r>
    </w:p>
    <w:p>
      <w:pPr>
        <w:pStyle w:val="Normal"/>
        <w:jc w:val="both"/>
        <w:rPr>
          <w:rStyle w:val="InternetLink"/>
          <w:rFonts w:ascii="Times New Roman" w:hAnsi="Times New Roman"/>
          <w:color w:val="000000"/>
          <w:sz w:val="24"/>
          <w:szCs w:val="24"/>
          <w:lang w:val="en-US"/>
        </w:rPr>
      </w:pPr>
      <w:r>
        <w:rPr>
          <w:rFonts w:ascii="Times New Roman" w:hAnsi="Times New Roman"/>
          <w:color w:val="000000"/>
          <w:sz w:val="24"/>
          <w:szCs w:val="24"/>
          <w:lang w:val="en-US"/>
        </w:rPr>
      </w:r>
    </w:p>
    <w:p>
      <w:pPr>
        <w:pStyle w:val="Normal"/>
        <w:jc w:val="both"/>
        <w:rPr>
          <w:sz w:val="32"/>
          <w:szCs w:val="32"/>
          <w:lang w:val="en-US"/>
        </w:rPr>
      </w:pPr>
      <w:r>
        <w:rPr>
          <w:sz w:val="32"/>
          <w:szCs w:val="32"/>
          <w:lang w:val="en-US"/>
        </w:rPr>
      </w:r>
    </w:p>
    <w:p>
      <w:pPr>
        <w:pStyle w:val="NormalWeb"/>
        <w:numPr>
          <w:ilvl w:val="0"/>
          <w:numId w:val="1"/>
        </w:numPr>
        <w:overflowPunct w:val="true"/>
        <w:spacing w:beforeAutospacing="0" w:before="0" w:afterAutospacing="0" w:after="0"/>
        <w:jc w:val="center"/>
        <w:textAlignment w:val="baseline"/>
        <w:rPr>
          <w:sz w:val="28"/>
          <w:szCs w:val="28"/>
        </w:rPr>
      </w:pPr>
      <w:r>
        <w:rPr>
          <w:rFonts w:eastAsia="+mn-ea"/>
          <w:b/>
          <w:bCs/>
          <w:kern w:val="2"/>
          <w:sz w:val="28"/>
          <w:szCs w:val="28"/>
        </w:rPr>
        <w:t>Локализация области ускорения электронов в солнечных вспышках без корональных выбросов массы</w:t>
      </w:r>
    </w:p>
    <w:p>
      <w:pPr>
        <w:pStyle w:val="NormalWeb"/>
        <w:overflowPunct w:val="true"/>
        <w:spacing w:beforeAutospacing="0" w:before="0" w:afterAutospacing="0" w:after="0"/>
        <w:textAlignment w:val="baseline"/>
        <w:rPr/>
      </w:pPr>
      <w:r>
        <w:rPr>
          <w:rFonts w:eastAsia="+mn-ea"/>
          <w:b/>
          <w:bCs/>
          <w:kern w:val="2"/>
        </w:rPr>
        <w:t> </w:t>
      </w:r>
    </w:p>
    <w:p>
      <w:pPr>
        <w:pStyle w:val="NormalWeb"/>
        <w:overflowPunct w:val="true"/>
        <w:spacing w:beforeAutospacing="0" w:before="0" w:afterAutospacing="0" w:after="0"/>
        <w:textAlignment w:val="baseline"/>
        <w:rPr/>
      </w:pPr>
      <w:r>
        <w:rPr>
          <w:rFonts w:eastAsia="+mn-ea"/>
          <w:kern w:val="2"/>
        </w:rPr>
        <w:t>И.Ю. Григорьева (ГАО РАН), А.Б. Струминский (ИКИ РАН), А.М. Садовский (ИКИ РАН), Ю.И. Логачев (НИЯФ МГУ).</w:t>
      </w:r>
    </w:p>
    <w:p>
      <w:pPr>
        <w:pStyle w:val="NormalWeb"/>
        <w:overflowPunct w:val="true"/>
        <w:spacing w:beforeAutospacing="0" w:before="0" w:afterAutospacing="0" w:after="0"/>
        <w:textAlignment w:val="baseline"/>
        <w:rPr/>
      </w:pPr>
      <w:r>
        <w:rPr>
          <w:rFonts w:eastAsia="+mn-ea"/>
          <w:kern w:val="2"/>
        </w:rPr>
        <w:t> </w:t>
      </w:r>
    </w:p>
    <w:p>
      <w:pPr>
        <w:pStyle w:val="NormalWeb"/>
        <w:overflowPunct w:val="true"/>
        <w:spacing w:beforeAutospacing="0" w:before="0" w:afterAutospacing="0" w:after="0"/>
        <w:ind w:firstLine="708"/>
        <w:jc w:val="both"/>
        <w:textAlignment w:val="baseline"/>
        <w:rPr/>
      </w:pPr>
      <w:r>
        <w:rPr>
          <w:rFonts w:eastAsia="+mn-ea"/>
          <w:kern w:val="2"/>
        </w:rPr>
        <w:t>Впервые локализована область энерговыделения (область ускорения электронов, способных генерировать жесткое рентгеновское излучение &gt; 100 кэВ) во вспышках без корональных выбросов массы. На примере трех таких вспышек показано, что энерговыделение происходило внутри области, ограниченной условиями генерации излучения на частотах менее 1415 МГц. Это накладывает ограничение на концентрацию плазмы (n</w:t>
      </w:r>
      <w:r>
        <w:rPr>
          <w:rFonts w:eastAsia="+mn-ea"/>
          <w:kern w:val="2"/>
          <w:position w:val="-8"/>
        </w:rPr>
        <w:t>e</w:t>
      </w:r>
      <w:r>
        <w:rPr>
          <w:rFonts w:eastAsia="+mn-ea"/>
          <w:kern w:val="2"/>
        </w:rPr>
        <w:t>=2.5∙10</w:t>
      </w:r>
      <w:r>
        <w:rPr>
          <w:rFonts w:eastAsia="+mn-ea"/>
          <w:kern w:val="2"/>
          <w:position w:val="10"/>
        </w:rPr>
        <w:t xml:space="preserve">10 </w:t>
      </w:r>
      <w:r>
        <w:rPr>
          <w:rFonts w:eastAsia="+mn-ea"/>
          <w:kern w:val="2"/>
        </w:rPr>
        <w:t>см</w:t>
      </w:r>
      <w:r>
        <w:rPr>
          <w:rFonts w:eastAsia="+mn-ea"/>
          <w:kern w:val="2"/>
          <w:position w:val="10"/>
        </w:rPr>
        <w:t>-3</w:t>
      </w:r>
      <w:r>
        <w:rPr>
          <w:rFonts w:eastAsia="+mn-ea"/>
          <w:kern w:val="2"/>
        </w:rPr>
        <w:t xml:space="preserve">), величину магнитного поля (~50 Гс) и на высоту области ускорения электронов (&lt; 42 Мм). </w:t>
      </w:r>
    </w:p>
    <w:p>
      <w:pPr>
        <w:pStyle w:val="Normal"/>
        <w:rPr/>
      </w:pPr>
      <w:r>
        <w:rPr/>
      </w:r>
    </w:p>
    <w:p>
      <w:pPr>
        <w:pStyle w:val="Normal"/>
        <w:spacing w:before="0" w:after="200"/>
        <w:jc w:val="both"/>
        <w:rPr>
          <w:rFonts w:ascii="Times New Roman" w:hAnsi="Times New Roman"/>
          <w:sz w:val="24"/>
          <w:szCs w:val="24"/>
          <w:lang w:val="en-US"/>
        </w:rPr>
      </w:pPr>
      <w:r>
        <w:rPr>
          <w:rFonts w:ascii="Times New Roman" w:hAnsi="Times New Roman"/>
          <w:bCs/>
          <w:color w:val="000000"/>
          <w:sz w:val="24"/>
          <w:szCs w:val="24"/>
          <w:lang w:val="en-US"/>
        </w:rPr>
        <w:t>I.Yu. Grigor’eva, and A.B. Struminsky</w:t>
      </w:r>
      <w:r>
        <w:rPr>
          <w:rFonts w:ascii="Times New Roman" w:hAnsi="Times New Roman"/>
          <w:sz w:val="24"/>
          <w:szCs w:val="24"/>
          <w:lang w:val="en-US"/>
        </w:rPr>
        <w:t xml:space="preserve"> “</w:t>
      </w:r>
      <w:r>
        <w:rPr>
          <w:rFonts w:ascii="Times New Roman" w:hAnsi="Times New Roman"/>
          <w:bCs/>
          <w:color w:val="000000"/>
          <w:sz w:val="24"/>
          <w:szCs w:val="24"/>
          <w:lang w:val="en-US"/>
        </w:rPr>
        <w:t>Flares Unaccompanied by Interplanetary Coronal Mass Ejections and Solar Proton Events</w:t>
      </w:r>
      <w:r>
        <w:rPr>
          <w:rFonts w:ascii="Times New Roman" w:hAnsi="Times New Roman"/>
          <w:sz w:val="24"/>
          <w:szCs w:val="24"/>
          <w:lang w:val="en-US"/>
        </w:rPr>
        <w:t xml:space="preserve">”, </w:t>
      </w:r>
      <w:r>
        <w:rPr>
          <w:rFonts w:ascii="Times New Roman" w:hAnsi="Times New Roman"/>
          <w:iCs/>
          <w:color w:val="000000"/>
          <w:sz w:val="24"/>
          <w:szCs w:val="24"/>
          <w:lang w:val="en-US"/>
        </w:rPr>
        <w:t xml:space="preserve">Geomagnetism and Aeronomy, Vol. 61, No. </w:t>
      </w:r>
      <w:r>
        <w:rPr>
          <w:rFonts w:ascii="Times New Roman" w:hAnsi="Times New Roman"/>
          <w:bCs/>
          <w:iCs/>
          <w:color w:val="000000"/>
          <w:sz w:val="24"/>
          <w:szCs w:val="24"/>
          <w:lang w:val="en-US"/>
        </w:rPr>
        <w:t>8</w:t>
      </w:r>
      <w:r>
        <w:rPr>
          <w:rFonts w:ascii="Times New Roman" w:hAnsi="Times New Roman"/>
          <w:iCs/>
          <w:color w:val="000000"/>
          <w:sz w:val="24"/>
          <w:szCs w:val="24"/>
          <w:lang w:val="en-US"/>
        </w:rPr>
        <w:t xml:space="preserve">, pp. 1–11, </w:t>
      </w:r>
      <w:r>
        <w:rPr>
          <w:rFonts w:ascii="Times New Roman" w:hAnsi="Times New Roman"/>
          <w:bCs/>
          <w:iCs/>
          <w:color w:val="000000"/>
          <w:sz w:val="24"/>
          <w:szCs w:val="24"/>
          <w:lang w:val="en-US"/>
        </w:rPr>
        <w:t>2021,</w:t>
      </w:r>
      <w:r>
        <w:rPr>
          <w:rFonts w:ascii="Times New Roman" w:hAnsi="Times New Roman"/>
          <w:iCs/>
          <w:color w:val="000000"/>
          <w:sz w:val="24"/>
          <w:szCs w:val="24"/>
          <w:lang w:val="en-US"/>
        </w:rPr>
        <w:t xml:space="preserve"> ISSN 0016-7932, </w:t>
      </w:r>
      <w:r>
        <w:rPr>
          <w:rFonts w:ascii="Times New Roman" w:hAnsi="Times New Roman"/>
          <w:color w:val="000000"/>
          <w:sz w:val="24"/>
          <w:szCs w:val="24"/>
          <w:lang w:val="en-US"/>
        </w:rPr>
        <w:t>DOI:</w:t>
      </w:r>
      <w:r>
        <w:rPr>
          <w:rFonts w:ascii="Times New Roman" w:hAnsi="Times New Roman"/>
          <w:b/>
          <w:bCs/>
          <w:color w:val="000000"/>
          <w:sz w:val="24"/>
          <w:szCs w:val="24"/>
          <w:lang w:val="en-US"/>
        </w:rPr>
        <w:t xml:space="preserve"> </w:t>
      </w:r>
      <w:r>
        <w:rPr>
          <w:rFonts w:ascii="Times New Roman" w:hAnsi="Times New Roman"/>
          <w:color w:val="000000"/>
          <w:sz w:val="24"/>
          <w:szCs w:val="24"/>
          <w:lang w:val="en-US"/>
        </w:rPr>
        <w:t>10.1134/S0016793221080090</w:t>
      </w:r>
      <w:r>
        <w:rPr>
          <w:rFonts w:ascii="Times New Roman" w:hAnsi="Times New Roman"/>
          <w:sz w:val="24"/>
          <w:szCs w:val="24"/>
          <w:lang w:val="en-US"/>
        </w:rPr>
        <w:t>.</w:t>
      </w:r>
    </w:p>
    <w:p>
      <w:pPr>
        <w:pStyle w:val="Normal"/>
        <w:rPr>
          <w:rFonts w:ascii="Times New Roman" w:hAnsi="Times New Roman"/>
          <w:sz w:val="24"/>
          <w:szCs w:val="24"/>
        </w:rPr>
      </w:pPr>
      <w:r>
        <w:rPr>
          <w:rFonts w:eastAsia="+mn-ea" w:ascii="Times New Roman" w:hAnsi="Times New Roman"/>
          <w:color w:val="000000"/>
          <w:kern w:val="2"/>
          <w:sz w:val="24"/>
          <w:szCs w:val="24"/>
        </w:rPr>
        <w:t>А. Б. Струминский, И. Ю. Григорьева, Ю. И. Логачев, А. М. Садовский «Связь между длительностью и величиной ускорения корональных выбросов массы» Геомагнетизм и Аэрономия, том 61, № 6, с. 683–693, 2021. DOI:</w:t>
      </w:r>
      <w:r>
        <w:rPr>
          <w:rFonts w:eastAsia="+mn-ea" w:ascii="Times New Roman" w:hAnsi="Times New Roman"/>
          <w:b/>
          <w:bCs/>
          <w:color w:val="000000"/>
          <w:kern w:val="2"/>
          <w:sz w:val="24"/>
          <w:szCs w:val="24"/>
        </w:rPr>
        <w:t xml:space="preserve"> </w:t>
      </w:r>
      <w:r>
        <w:rPr>
          <w:rFonts w:eastAsia="+mn-ea" w:ascii="Times New Roman" w:hAnsi="Times New Roman"/>
          <w:color w:val="000000"/>
          <w:kern w:val="2"/>
          <w:sz w:val="24"/>
          <w:szCs w:val="24"/>
        </w:rPr>
        <w:t>10.31857/S001679402105014X.</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b/>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f29"/>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InternetLink">
    <w:name w:val="Hyperlink"/>
    <w:uiPriority w:val="99"/>
    <w:unhideWhenUsed/>
    <w:rsid w:val="002f6f29"/>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NormalWeb">
    <w:name w:val="Normal (Web)"/>
    <w:basedOn w:val="Normal"/>
    <w:uiPriority w:val="99"/>
    <w:semiHidden/>
    <w:unhideWhenUsed/>
    <w:qFormat/>
    <w:rsid w:val="002f6f29"/>
    <w:pPr>
      <w:spacing w:beforeAutospacing="1" w:afterAutospacing="1"/>
    </w:pPr>
    <w:rPr>
      <w:rFonts w:ascii="Times New Roman" w:hAnsi="Times New Roman" w:eastAsia="Times New Roman"/>
      <w:sz w:val="24"/>
      <w:szCs w:val="24"/>
      <w:lang w:eastAsia="ru-RU"/>
    </w:rPr>
  </w:style>
  <w:style w:type="paragraph" w:styleId="ListParagraph">
    <w:name w:val="List Paragraph"/>
    <w:basedOn w:val="Normal"/>
    <w:uiPriority w:val="34"/>
    <w:qFormat/>
    <w:rsid w:val="0019762a"/>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LibreOffice/7.2.3.2$Linux_X86_64 LibreOffice_project/a49ed84f3d037188bbbcb324f9afc3796d887539</Application>
  <AppVersion>15.0000</AppVersion>
  <Pages>1</Pages>
  <Words>243</Words>
  <Characters>1622</Characters>
  <CharactersWithSpaces>1852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2021-12-17T18:10:00Z</dcterms:created>
  <dc:creator>Stepanov-Home</dc:creator>
  <dc:description/>
  <dc:language>en-US</dc:language>
  <cp:lastModifiedBy/>
  <dcterms:modified xsi:type="dcterms:W3CDTF">2021-12-18T10:36:06Z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