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Search for Astrophysical Nanosecond Optical Transients with TAIGA-HiSCORE Array</w:t>
      </w:r>
    </w:p>
    <w:p>
      <w:pPr>
        <w:pStyle w:val="Normal"/>
        <w:rPr/>
      </w:pPr>
      <w:r>
        <w:rPr/>
        <w:t>(Поиск оптических транзиентов астрофизического происхождения с использование массива TAIGA-HiSCORE)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A. D. Panov,</w:t>
      </w:r>
      <w:r>
        <w:rPr>
          <w:vertAlign w:val="superscript"/>
        </w:rPr>
        <w:t>1</w:t>
      </w:r>
      <w:r>
        <w:rPr/>
        <w:t>, I. I. Astapov,</w:t>
      </w:r>
      <w:r>
        <w:rPr>
          <w:vertAlign w:val="superscript"/>
        </w:rPr>
        <w:t>2</w:t>
      </w:r>
      <w:r>
        <w:rPr/>
        <w:t xml:space="preserve"> A. K. Awad,</w:t>
      </w:r>
      <w:r>
        <w:rPr>
          <w:vertAlign w:val="superscript"/>
        </w:rPr>
        <w:t>3</w:t>
      </w:r>
      <w:r>
        <w:rPr/>
        <w:t xml:space="preserve"> G. M. Beskin,</w:t>
      </w:r>
      <w:r>
        <w:rPr>
          <w:vertAlign w:val="superscript"/>
        </w:rPr>
        <w:t>4</w:t>
      </w:r>
      <w:r>
        <w:rPr/>
        <w:t xml:space="preserve"> P. A. Bezyazeekov,</w:t>
      </w:r>
      <w:r>
        <w:rPr>
          <w:vertAlign w:val="superscript"/>
        </w:rPr>
        <w:t>5</w:t>
      </w:r>
      <w:r>
        <w:rPr/>
        <w:t xml:space="preserve"> M. Blank,</w:t>
      </w:r>
      <w:r>
        <w:rPr>
          <w:vertAlign w:val="superscript"/>
        </w:rPr>
        <w:t>3</w:t>
      </w:r>
      <w:r>
        <w:rPr/>
        <w:t xml:space="preserve"> E. A. Bonvech,</w:t>
      </w:r>
      <w:r>
        <w:rPr>
          <w:vertAlign w:val="superscript"/>
        </w:rPr>
        <w:t>1</w:t>
      </w:r>
      <w:r>
        <w:rPr/>
        <w:t xml:space="preserve"> A. N. Borodin,</w:t>
      </w:r>
      <w:r>
        <w:rPr>
          <w:vertAlign w:val="superscript"/>
        </w:rPr>
        <w:t>6</w:t>
      </w:r>
      <w:r>
        <w:rPr/>
        <w:t xml:space="preserve"> M. Bruckner,</w:t>
      </w:r>
      <w:r>
        <w:rPr>
          <w:vertAlign w:val="superscript"/>
        </w:rPr>
        <w:t>7</w:t>
      </w:r>
      <w:r>
        <w:rPr/>
        <w:t xml:space="preserve"> N. M. Budnev,</w:t>
      </w:r>
      <w:r>
        <w:rPr>
          <w:vertAlign w:val="superscript"/>
        </w:rPr>
        <w:t>5</w:t>
      </w:r>
      <w:r>
        <w:rPr/>
        <w:t xml:space="preserve"> A. V. Bulan,</w:t>
      </w:r>
      <w:r>
        <w:rPr>
          <w:vertAlign w:val="superscript"/>
        </w:rPr>
        <w:t>1</w:t>
      </w:r>
      <w:r>
        <w:rPr/>
        <w:t xml:space="preserve"> D. V. Chernov,</w:t>
      </w:r>
      <w:r>
        <w:rPr>
          <w:vertAlign w:val="superscript"/>
        </w:rPr>
        <w:t>1</w:t>
      </w:r>
      <w:r>
        <w:rPr/>
        <w:t xml:space="preserve"> A. Chiavassa,</w:t>
      </w:r>
      <w:r>
        <w:rPr>
          <w:vertAlign w:val="superscript"/>
        </w:rPr>
        <w:t>8</w:t>
      </w:r>
      <w:r>
        <w:rPr/>
        <w:t xml:space="preserve"> A. N. Dyachok,</w:t>
      </w:r>
      <w:r>
        <w:rPr>
          <w:vertAlign w:val="superscript"/>
        </w:rPr>
        <w:t>5</w:t>
      </w:r>
      <w:r>
        <w:rPr/>
        <w:t xml:space="preserve"> A. R. Gafarov,</w:t>
      </w:r>
      <w:r>
        <w:rPr>
          <w:vertAlign w:val="superscript"/>
        </w:rPr>
        <w:t>5</w:t>
      </w:r>
      <w:r>
        <w:rPr/>
        <w:t xml:space="preserve"> A. Yu. Garmash,</w:t>
      </w:r>
      <w:r>
        <w:rPr>
          <w:vertAlign w:val="superscript"/>
        </w:rPr>
        <w:t>9, 10</w:t>
      </w:r>
      <w:r>
        <w:rPr/>
        <w:t xml:space="preserve"> V. M. Grebenyuk,</w:t>
      </w:r>
      <w:r>
        <w:rPr>
          <w:vertAlign w:val="superscript"/>
        </w:rPr>
        <w:t>6</w:t>
      </w:r>
      <w:r>
        <w:rPr/>
        <w:t xml:space="preserve"> O. A. Gress,</w:t>
      </w:r>
      <w:r>
        <w:rPr>
          <w:vertAlign w:val="superscript"/>
        </w:rPr>
        <w:t>5</w:t>
      </w:r>
      <w:r>
        <w:rPr/>
        <w:t xml:space="preserve"> T. I. Gress,</w:t>
      </w:r>
      <w:r>
        <w:rPr>
          <w:vertAlign w:val="superscript"/>
        </w:rPr>
        <w:t>5</w:t>
      </w:r>
      <w:r>
        <w:rPr/>
        <w:t xml:space="preserve"> A. A. Grinyuk,</w:t>
      </w:r>
      <w:r>
        <w:rPr>
          <w:vertAlign w:val="superscript"/>
        </w:rPr>
        <w:t>6</w:t>
      </w:r>
      <w:r>
        <w:rPr/>
        <w:t xml:space="preserve"> O. G. Grishin,</w:t>
      </w:r>
      <w:r>
        <w:rPr>
          <w:vertAlign w:val="superscript"/>
        </w:rPr>
        <w:t>5</w:t>
      </w:r>
      <w:r>
        <w:rPr/>
        <w:t xml:space="preserve"> D. Horns,</w:t>
      </w:r>
      <w:r>
        <w:rPr>
          <w:vertAlign w:val="superscript"/>
        </w:rPr>
        <w:t>3</w:t>
      </w:r>
      <w:r>
        <w:rPr/>
        <w:t xml:space="preserve"> A. L. Ivanova,</w:t>
      </w:r>
      <w:r>
        <w:rPr>
          <w:vertAlign w:val="superscript"/>
        </w:rPr>
        <w:t>10, 5</w:t>
      </w:r>
      <w:r>
        <w:rPr/>
        <w:t xml:space="preserve"> N. N. Kalmykov,</w:t>
      </w:r>
      <w:r>
        <w:rPr>
          <w:vertAlign w:val="superscript"/>
        </w:rPr>
        <w:t>1</w:t>
      </w:r>
      <w:r>
        <w:rPr/>
        <w:t xml:space="preserve"> V. V. Kindin,</w:t>
      </w:r>
      <w:r>
        <w:rPr>
          <w:vertAlign w:val="superscript"/>
        </w:rPr>
        <w:t>5</w:t>
      </w:r>
      <w:r>
        <w:rPr/>
        <w:t xml:space="preserve"> S. N. Kiryuhin,</w:t>
      </w:r>
      <w:r>
        <w:rPr>
          <w:vertAlign w:val="superscript"/>
        </w:rPr>
        <w:t>5</w:t>
      </w:r>
      <w:r>
        <w:rPr/>
        <w:t xml:space="preserve"> R. P. Kokoulin,</w:t>
      </w:r>
      <w:r>
        <w:rPr>
          <w:vertAlign w:val="superscript"/>
        </w:rPr>
        <w:t>2</w:t>
      </w:r>
      <w:r>
        <w:rPr/>
        <w:t xml:space="preserve"> K. G. Kompaniets,</w:t>
      </w:r>
      <w:r>
        <w:rPr>
          <w:vertAlign w:val="superscript"/>
        </w:rPr>
        <w:t>5</w:t>
      </w:r>
      <w:r>
        <w:rPr/>
        <w:t xml:space="preserve"> E. E. Korosteleva,</w:t>
      </w:r>
      <w:r>
        <w:rPr>
          <w:vertAlign w:val="superscript"/>
        </w:rPr>
        <w:t>1</w:t>
      </w:r>
      <w:r>
        <w:rPr/>
        <w:t xml:space="preserve"> V. A. Kozhin,</w:t>
      </w:r>
      <w:r>
        <w:rPr>
          <w:vertAlign w:val="superscript"/>
        </w:rPr>
        <w:t>1</w:t>
      </w:r>
      <w:r>
        <w:rPr/>
        <w:t xml:space="preserve"> E. A. Kravchenko,</w:t>
      </w:r>
      <w:r>
        <w:rPr>
          <w:vertAlign w:val="superscript"/>
        </w:rPr>
        <w:t>9, 10</w:t>
      </w:r>
      <w:r>
        <w:rPr/>
        <w:t xml:space="preserve"> A. A. Krivopalova</w:t>
      </w:r>
      <w:r>
        <w:rPr>
          <w:vertAlign w:val="superscript"/>
        </w:rPr>
        <w:t>16</w:t>
      </w:r>
      <w:r>
        <w:rPr/>
        <w:t>, L. A. Kuzmichev,</w:t>
      </w:r>
      <w:r>
        <w:rPr>
          <w:vertAlign w:val="superscript"/>
        </w:rPr>
        <w:t>1</w:t>
      </w:r>
      <w:r>
        <w:rPr/>
        <w:t>, A. P. Kryukov,</w:t>
      </w:r>
      <w:r>
        <w:rPr>
          <w:vertAlign w:val="superscript"/>
        </w:rPr>
        <w:t>1</w:t>
      </w:r>
      <w:r>
        <w:rPr/>
        <w:t xml:space="preserve"> A. A. Lagutin,</w:t>
      </w:r>
      <w:r>
        <w:rPr>
          <w:vertAlign w:val="superscript"/>
        </w:rPr>
        <w:t>11</w:t>
      </w:r>
      <w:r>
        <w:rPr/>
        <w:t xml:space="preserve"> M. V. Lavrova,</w:t>
      </w:r>
      <w:r>
        <w:rPr>
          <w:vertAlign w:val="superscript"/>
        </w:rPr>
        <w:t>6</w:t>
      </w:r>
      <w:r>
        <w:rPr/>
        <w:t xml:space="preserve"> Yu. Lemeshev,</w:t>
      </w:r>
      <w:r>
        <w:rPr>
          <w:vertAlign w:val="superscript"/>
        </w:rPr>
        <w:t>5</w:t>
      </w:r>
      <w:r>
        <w:rPr/>
        <w:t xml:space="preserve"> B. K. Lubsandorzhiev,</w:t>
      </w:r>
      <w:r>
        <w:rPr>
          <w:vertAlign w:val="superscript"/>
        </w:rPr>
        <w:t>12</w:t>
      </w:r>
      <w:r>
        <w:rPr/>
        <w:t xml:space="preserve"> N. B. Lubsandorzhiev,</w:t>
      </w:r>
      <w:r>
        <w:rPr>
          <w:vertAlign w:val="superscript"/>
        </w:rPr>
        <w:t>1</w:t>
      </w:r>
      <w:r>
        <w:rPr/>
        <w:t xml:space="preserve"> A. D. Lukanov,</w:t>
      </w:r>
      <w:r>
        <w:rPr>
          <w:vertAlign w:val="superscript"/>
        </w:rPr>
        <w:t>12</w:t>
      </w:r>
      <w:r>
        <w:rPr/>
        <w:t xml:space="preserve"> R. R. Mirgazov,</w:t>
      </w:r>
      <w:r>
        <w:rPr>
          <w:vertAlign w:val="superscript"/>
        </w:rPr>
        <w:t>5</w:t>
      </w:r>
      <w:r>
        <w:rPr/>
        <w:t xml:space="preserve"> R. Mirzoyan,</w:t>
      </w:r>
      <w:r>
        <w:rPr>
          <w:vertAlign w:val="superscript"/>
        </w:rPr>
        <w:t>13</w:t>
      </w:r>
      <w:r>
        <w:rPr/>
        <w:t>, 1 R. D. Monkhoev,</w:t>
      </w:r>
      <w:r>
        <w:rPr>
          <w:vertAlign w:val="superscript"/>
        </w:rPr>
        <w:t>5</w:t>
      </w:r>
      <w:r>
        <w:rPr/>
        <w:t xml:space="preserve"> E. A. Osipova,</w:t>
      </w:r>
      <w:r>
        <w:rPr>
          <w:vertAlign w:val="superscript"/>
        </w:rPr>
        <w:t>1</w:t>
      </w:r>
      <w:r>
        <w:rPr/>
        <w:t xml:space="preserve"> A. L. Pakhorukov,</w:t>
      </w:r>
      <w:r>
        <w:rPr>
          <w:vertAlign w:val="superscript"/>
        </w:rPr>
        <w:t>5</w:t>
      </w:r>
      <w:r>
        <w:rPr/>
        <w:t xml:space="preserve"> À. Pan,</w:t>
      </w:r>
      <w:r>
        <w:rPr>
          <w:vertAlign w:val="superscript"/>
        </w:rPr>
        <w:t>6</w:t>
      </w:r>
      <w:r>
        <w:rPr/>
        <w:t xml:space="preserve"> L. V. Pankov,</w:t>
      </w:r>
      <w:r>
        <w:rPr>
          <w:vertAlign w:val="superscript"/>
        </w:rPr>
        <w:t>5</w:t>
      </w:r>
      <w:r>
        <w:rPr/>
        <w:t xml:space="preserve"> A. A. Petrukhin,</w:t>
      </w:r>
      <w:r>
        <w:rPr>
          <w:vertAlign w:val="superscript"/>
        </w:rPr>
        <w:t>2</w:t>
      </w:r>
      <w:r>
        <w:rPr/>
        <w:t xml:space="preserve"> D. A. Podgrudkov,</w:t>
      </w:r>
      <w:r>
        <w:rPr>
          <w:vertAlign w:val="superscript"/>
        </w:rPr>
        <w:t>1</w:t>
      </w:r>
      <w:r>
        <w:rPr/>
        <w:t xml:space="preserve"> V. A. Poleschuk,</w:t>
      </w:r>
      <w:r>
        <w:rPr>
          <w:vertAlign w:val="superscript"/>
        </w:rPr>
        <w:t>5</w:t>
      </w:r>
      <w:r>
        <w:rPr/>
        <w:t xml:space="preserve"> E. G. Popova,</w:t>
      </w:r>
      <w:r>
        <w:rPr>
          <w:vertAlign w:val="superscript"/>
        </w:rPr>
        <w:t>1</w:t>
      </w:r>
      <w:r>
        <w:rPr/>
        <w:t xml:space="preserve"> A. Porelli,</w:t>
      </w:r>
      <w:r>
        <w:rPr>
          <w:vertAlign w:val="superscript"/>
        </w:rPr>
        <w:t>7</w:t>
      </w:r>
      <w:r>
        <w:rPr/>
        <w:t xml:space="preserve"> E. B. Postnikov,</w:t>
      </w:r>
      <w:r>
        <w:rPr>
          <w:vertAlign w:val="superscript"/>
        </w:rPr>
        <w:t>1</w:t>
      </w:r>
      <w:r>
        <w:rPr/>
        <w:t xml:space="preserve"> V. V. Prosin,</w:t>
      </w:r>
      <w:r>
        <w:rPr>
          <w:vertAlign w:val="superscript"/>
        </w:rPr>
        <w:t>1</w:t>
      </w:r>
      <w:r>
        <w:rPr/>
        <w:t xml:space="preserve"> V. S. Ptuskin,</w:t>
      </w:r>
      <w:r>
        <w:rPr>
          <w:vertAlign w:val="superscript"/>
        </w:rPr>
        <w:t>14</w:t>
      </w:r>
      <w:r>
        <w:rPr/>
        <w:t xml:space="preserve"> A. A. Pushnin,</w:t>
      </w:r>
      <w:r>
        <w:rPr>
          <w:vertAlign w:val="superscript"/>
        </w:rPr>
        <w:t>5</w:t>
      </w:r>
      <w:r>
        <w:rPr/>
        <w:t xml:space="preserve"> R. I. Raikin,</w:t>
      </w:r>
      <w:r>
        <w:rPr>
          <w:vertAlign w:val="superscript"/>
        </w:rPr>
        <w:t>11</w:t>
      </w:r>
      <w:r>
        <w:rPr/>
        <w:t xml:space="preserve"> A. Razumov,</w:t>
      </w:r>
      <w:r>
        <w:rPr>
          <w:vertAlign w:val="superscript"/>
        </w:rPr>
        <w:t>1</w:t>
      </w:r>
      <w:r>
        <w:rPr/>
        <w:t xml:space="preserve"> E. Rjabov,</w:t>
      </w:r>
      <w:r>
        <w:rPr>
          <w:vertAlign w:val="superscript"/>
        </w:rPr>
        <w:t>5</w:t>
      </w:r>
      <w:r>
        <w:rPr/>
        <w:t xml:space="preserve"> G. I. Rubtsov,</w:t>
      </w:r>
      <w:r>
        <w:rPr>
          <w:vertAlign w:val="superscript"/>
        </w:rPr>
        <w:t>12</w:t>
      </w:r>
      <w:r>
        <w:rPr/>
        <w:t xml:space="preserve"> Y. I. Sagan,</w:t>
      </w:r>
      <w:r>
        <w:rPr>
          <w:vertAlign w:val="superscript"/>
        </w:rPr>
        <w:t>6, 15</w:t>
      </w:r>
      <w:r>
        <w:rPr/>
        <w:t xml:space="preserve"> V. S. Samoliga,</w:t>
      </w:r>
      <w:r>
        <w:rPr>
          <w:vertAlign w:val="superscript"/>
        </w:rPr>
        <w:t>5</w:t>
      </w:r>
      <w:r>
        <w:rPr/>
        <w:t xml:space="preserve"> A. Yu. Sidorenkov,</w:t>
      </w:r>
      <w:r>
        <w:rPr>
          <w:vertAlign w:val="superscript"/>
        </w:rPr>
        <w:t>12</w:t>
      </w:r>
      <w:r>
        <w:rPr/>
        <w:t xml:space="preserve"> A. A. Silaev,</w:t>
      </w:r>
      <w:r>
        <w:rPr>
          <w:vertAlign w:val="superscript"/>
        </w:rPr>
        <w:t>1</w:t>
      </w:r>
      <w:r>
        <w:rPr/>
        <w:t xml:space="preserve"> A. A. Silaev (junior),</w:t>
      </w:r>
      <w:r>
        <w:rPr>
          <w:vertAlign w:val="superscript"/>
        </w:rPr>
        <w:t>1</w:t>
      </w:r>
      <w:r>
        <w:rPr/>
        <w:t xml:space="preserve"> A. V. Skurikhin,</w:t>
      </w:r>
      <w:r>
        <w:rPr>
          <w:vertAlign w:val="superscript"/>
        </w:rPr>
        <w:t>1</w:t>
      </w:r>
      <w:r>
        <w:rPr/>
        <w:t xml:space="preserve"> I. Satyshev,</w:t>
      </w:r>
      <w:r>
        <w:rPr>
          <w:vertAlign w:val="superscript"/>
        </w:rPr>
        <w:t>6</w:t>
      </w:r>
      <w:r>
        <w:rPr/>
        <w:t xml:space="preserve"> A. V. Sokolov,</w:t>
      </w:r>
      <w:r>
        <w:rPr>
          <w:vertAlign w:val="superscript"/>
        </w:rPr>
        <w:t>9, 10</w:t>
      </w:r>
      <w:r>
        <w:rPr/>
        <w:t xml:space="preserve"> Y. Suvorkin,</w:t>
      </w:r>
      <w:r>
        <w:rPr>
          <w:vertAlign w:val="superscript"/>
        </w:rPr>
        <w:t>5</w:t>
      </w:r>
      <w:r>
        <w:rPr/>
        <w:t xml:space="preserve"> L. G. Sveshnikova,</w:t>
      </w:r>
      <w:r>
        <w:rPr>
          <w:vertAlign w:val="superscript"/>
        </w:rPr>
        <w:t>1</w:t>
      </w:r>
      <w:r>
        <w:rPr/>
        <w:t xml:space="preserve"> V. A. Tabolenko,</w:t>
      </w:r>
      <w:r>
        <w:rPr>
          <w:vertAlign w:val="superscript"/>
        </w:rPr>
        <w:t>5</w:t>
      </w:r>
      <w:r>
        <w:rPr/>
        <w:t xml:space="preserve"> A. B. Tanaev,</w:t>
      </w:r>
      <w:r>
        <w:rPr>
          <w:vertAlign w:val="superscript"/>
        </w:rPr>
        <w:t>5</w:t>
      </w:r>
      <w:r>
        <w:rPr/>
        <w:t xml:space="preserve"> A. A. Tarashansky,</w:t>
      </w:r>
      <w:r>
        <w:rPr>
          <w:vertAlign w:val="superscript"/>
        </w:rPr>
        <w:t>5</w:t>
      </w:r>
      <w:r>
        <w:rPr/>
        <w:t xml:space="preserve"> M. Ternovoy,</w:t>
      </w:r>
      <w:r>
        <w:rPr>
          <w:vertAlign w:val="superscript"/>
        </w:rPr>
        <w:t>5</w:t>
      </w:r>
      <w:r>
        <w:rPr/>
        <w:t xml:space="preserve"> L. G. Tkachev,</w:t>
      </w:r>
      <w:r>
        <w:rPr>
          <w:vertAlign w:val="superscript"/>
        </w:rPr>
        <w:t>6</w:t>
      </w:r>
      <w:r>
        <w:rPr/>
        <w:t>, 15 M. Tluczykont,</w:t>
      </w:r>
      <w:r>
        <w:rPr>
          <w:vertAlign w:val="superscript"/>
        </w:rPr>
        <w:t>3</w:t>
      </w:r>
      <w:r>
        <w:rPr/>
        <w:t xml:space="preserve"> N. Ushakov,</w:t>
      </w:r>
      <w:r>
        <w:rPr>
          <w:vertAlign w:val="superscript"/>
        </w:rPr>
        <w:t>12</w:t>
      </w:r>
      <w:r>
        <w:rPr/>
        <w:t xml:space="preserve"> A. Vaidyanathan,</w:t>
      </w:r>
      <w:r>
        <w:rPr>
          <w:vertAlign w:val="superscript"/>
        </w:rPr>
        <w:t>9</w:t>
      </w:r>
      <w:r>
        <w:rPr/>
        <w:t xml:space="preserve"> P. A. Volchugov,</w:t>
      </w:r>
      <w:r>
        <w:rPr>
          <w:vertAlign w:val="superscript"/>
        </w:rPr>
        <w:t>1</w:t>
      </w:r>
      <w:r>
        <w:rPr/>
        <w:t xml:space="preserve"> N. V. Volkov,</w:t>
      </w:r>
      <w:r>
        <w:rPr>
          <w:vertAlign w:val="superscript"/>
        </w:rPr>
        <w:t>11</w:t>
      </w:r>
      <w:r>
        <w:rPr/>
        <w:t xml:space="preserve"> D. Voronin,</w:t>
      </w:r>
      <w:r>
        <w:rPr>
          <w:vertAlign w:val="superscript"/>
        </w:rPr>
        <w:t>12</w:t>
      </w:r>
      <w:r>
        <w:rPr/>
        <w:t xml:space="preserve"> R. Wischnewski,</w:t>
      </w:r>
      <w:r>
        <w:rPr>
          <w:vertAlign w:val="superscript"/>
        </w:rPr>
        <w:t>7</w:t>
      </w:r>
      <w:r>
        <w:rPr/>
        <w:t xml:space="preserve"> I. I. Yashin,</w:t>
      </w:r>
      <w:r>
        <w:rPr>
          <w:vertAlign w:val="superscript"/>
        </w:rPr>
        <w:t>2</w:t>
      </w:r>
      <w:r>
        <w:rPr/>
        <w:t xml:space="preserve"> A. V. Zagorodnikov,</w:t>
      </w:r>
      <w:r>
        <w:rPr>
          <w:vertAlign w:val="superscript"/>
        </w:rPr>
        <w:t>5</w:t>
      </w:r>
      <w:r>
        <w:rPr/>
        <w:t xml:space="preserve"> and D. P. Zhurov</w:t>
      </w:r>
      <w:r>
        <w:rPr>
          <w:vertAlign w:val="superscript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ind w:left="227" w:right="0" w:hanging="283"/>
        <w:rPr/>
      </w:pPr>
      <w:r>
        <w:rPr>
          <w:vertAlign w:val="superscript"/>
        </w:rPr>
        <w:t>1</w:t>
      </w:r>
      <w:r>
        <w:rPr/>
        <w:t>Lomonosov Moscow State University Skobeltsyn Institute of Nuclear Physics (MSU SINP), Leninskie gory 1(2), GSP-1, Moscow, 119991,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2</w:t>
      </w:r>
      <w:r>
        <w:rPr/>
        <w:t>National Research Nuclear University MEPhI (Moscow Engineering Physics Institute), Kashirskoe highway 31, Moscow, 115409,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3</w:t>
      </w:r>
      <w:r>
        <w:rPr/>
        <w:t>Institute of experimental physics of Hamburg University, Luruper Chaussee 149, 22761 Hamburg, Germany.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4</w:t>
      </w:r>
      <w:r>
        <w:rPr/>
        <w:t>Special Astrophysical Observatory, Nizhnij Arkhyz, Zelenchukskiy region, Karachai-Cherkessian Republic, 369167,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5</w:t>
      </w:r>
      <w:r>
        <w:rPr/>
        <w:t>Institute of Applied Physics, Irkutsk State University (API ISU), Gagarin Blvd. 20, Irkutsk, 664003,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6</w:t>
      </w:r>
      <w:r>
        <w:rPr/>
        <w:t>Joint Institute for Nuclear Research, Joliot-Curie 6, Dubna, Moscow Region, 141980,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7</w:t>
      </w:r>
      <w:r>
        <w:rPr/>
        <w:t>Deutsches Elektronen-Synchrotron DESY, 15738 Zeuthen, Germany.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8</w:t>
      </w:r>
      <w:r>
        <w:rPr/>
        <w:t>Physics Department of the University of Torino and the National Institute of Nuclear Physics INFN, 10125 Torino, Italy.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9</w:t>
      </w:r>
      <w:r>
        <w:rPr/>
        <w:t>Novosibirsk State University, Pirogova 1, Novosibirsk, 630090,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10</w:t>
      </w:r>
      <w:r>
        <w:rPr/>
        <w:t>Budker Institute of Nuclear Physics of the Siberian Branch of the Russian Academy of Sciences, Lavrentyev Prosp. 11, Novosibirsk, 630090,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11</w:t>
      </w:r>
      <w:r>
        <w:rPr/>
        <w:t>Altai State University, Lenina 61, Barnaul, 656049,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12</w:t>
      </w:r>
      <w:r>
        <w:rPr/>
        <w:t>Institute for Nuclear Research of the Russian Academy of Sciences, 60th October Anniversary 7a, 117312, Moscow,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13</w:t>
      </w:r>
      <w:r>
        <w:rPr/>
        <w:t>Max Planck Institute for Physics, Fohringer Ring 6, D-80805 Munich, Germany.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14</w:t>
      </w:r>
      <w:r>
        <w:rPr/>
        <w:t>Pushkov Institute of Terrestrial Magnetism, Ionosphere and Radio Wave Propagation of the Siberian Branch of the Russian Academy of Sciences (IZMIRAN), Kaluzhskoe highway 4, Moscow, Troitsk, 108840,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15</w:t>
      </w:r>
      <w:r>
        <w:rPr/>
        <w:t>Dubna State University, Universitetskaya 19, Dubna, Moscow region, 141982, Russia.</w:t>
      </w:r>
    </w:p>
    <w:p>
      <w:pPr>
        <w:pStyle w:val="Normal"/>
        <w:ind w:left="227" w:right="0" w:hanging="283"/>
        <w:rPr/>
      </w:pPr>
      <w:r>
        <w:rPr>
          <w:vertAlign w:val="superscript"/>
        </w:rPr>
        <w:t>16</w:t>
      </w:r>
      <w:r>
        <w:rPr/>
        <w:t>Science-cultural center SETI at NSA RAN. Sternberg Astronomical Institute, Universitetskiy prospekt, 13, Moscow, 119992, Russia.</w:t>
      </w:r>
    </w:p>
    <w:p>
      <w:pPr>
        <w:pStyle w:val="Normal"/>
        <w:ind w:left="227" w:right="0" w:hanging="283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  <w:t>Широкоугольный черенковский массив TAIGA-HiSCORE (поле зрения около стерадиана) изначально создавался в составе астрофизического комплекса TAIGA для изучения гамма-астрономии высоких энергий и физики космических лучей. Сейчас сеть состоит из 120 оптических станций, расположенных на площади около 1 км</w:t>
      </w:r>
      <w:r>
        <w:rPr>
          <w:vertAlign w:val="superscript"/>
        </w:rPr>
        <w:t>2</w:t>
      </w:r>
      <w:r>
        <w:rPr/>
        <w:t>. Направление на событие восстанавливается по временам срабатывания оптических станций в массиве. Благодаря высокой точности, стабильности (∼1 нс) и временной синхронизации оптических станций точность восстановления направления прихода широких атмосферных ливней (ШАЛ) достигает 0,1</w:t>
      </w:r>
      <w:r>
        <w:rPr>
          <w:vertAlign w:val="superscript"/>
        </w:rPr>
        <w:t>o</w:t>
      </w:r>
      <w:r>
        <w:rPr/>
        <w:t>. Было показано, что массив HiSCORE можно использовать также для поиска наносекундных астрофизических событий оптического диапазона. В этом случае точность восстановления направления на событие составляет 0.03</w:t>
      </w:r>
      <w:r>
        <w:rPr>
          <w:vertAlign w:val="superscript"/>
        </w:rPr>
        <w:t>o</w:t>
      </w:r>
      <w:r>
        <w:rPr/>
        <w:t>. События удаленных точечных оптических транзиентов легко отличаются от событий ШАЛ по структуре события в массиве: события ШАЛ имеют, как правило, форму компактых пятен, события удаленных транзиентов создают равномерную засветку всего массива. В работе впервые реализован метод астрономических наблюдений без использования фокусирующей оптики. Было показано, источником искомых событий могут быть вспышки оптического лазера наносекундного диапазона, причем даже для расстояний в тысячи световых лет такой лазер должен обладать довольно умеренными характеристиками (может быть реализован с использованием технологий, уже известных на земле). Тем самым, ожидаемым источником сигналов является лазер внеземной цивилизации, и настоящее исследование вписывается в программу поиска сигнеало внеземных цивилизаций в оптическом диапазоне. Осуществлен поиск оптических транзиентов в данных HiSCORE за зимний сезон 2018-2019 гг. Обнаружен один кандидат в двойной репитер, но оцененная вероятность случайного моделирования такого события по фоновыми событиям ШАЛ составляет не менее 10%, что не позволяет говорить о том, что обнаруженный кандидат соответствует реальному астрофизическому транзиенту. По данным первого сезона наблюдений оценен верхний предел частоты оптических событий с плотностью потока более 10</w:t>
      </w:r>
      <w:r>
        <w:rPr>
          <w:vertAlign w:val="superscript"/>
        </w:rPr>
        <w:t>–4</w:t>
      </w:r>
      <w:r>
        <w:rPr/>
        <w:t xml:space="preserve"> эрг/с/см</w:t>
      </w:r>
      <w:r>
        <w:rPr>
          <w:vertAlign w:val="superscript"/>
        </w:rPr>
        <w:t>2</w:t>
      </w:r>
      <w:r>
        <w:rPr/>
        <w:t xml:space="preserve"> и длительностью более 5 нс как ∼2×10</w:t>
      </w:r>
      <w:r>
        <w:rPr>
          <w:vertAlign w:val="superscript"/>
        </w:rPr>
        <w:t>–3</w:t>
      </w:r>
      <w:r>
        <w:rPr/>
        <w:t xml:space="preserve"> событий/ср/час.</w:t>
      </w:r>
    </w:p>
    <w:p>
      <w:pPr>
        <w:pStyle w:val="Normal"/>
        <w:ind w:left="0" w:right="0" w:firstLine="283"/>
        <w:jc w:val="both"/>
        <w:rPr/>
      </w:pPr>
      <w:r>
        <w:rPr/>
        <w:t>Работа в 2021 г. была доложена на трех международных конференциях: ISCRA-2021 (МИФИ, Москва), ICRS-2021 (Берлин), IAC-2021 (Дубаи). Опубликована одна статья [1] и один электронный препринт [2]; еще одна статья принята к публикации в журнале «Ядерная Физика».</w:t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[1] A. Panov, I. Astapov, A. Awad, et al. (TAIGA collaboration),  PoS(ICRC2021)951</w:t>
      </w:r>
    </w:p>
    <w:p>
      <w:pPr>
        <w:pStyle w:val="Normal"/>
        <w:ind w:left="0" w:right="0" w:hanging="0"/>
        <w:jc w:val="both"/>
        <w:rPr/>
      </w:pPr>
      <w:r>
        <w:rPr/>
        <w:t>[2] A.D. Panov, I.I. Astapov, A.K. Awad, et al. (TAIGA collaboration), arXiv:2109.09637 [astro-ph.IM]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5">
    <w:name w:val="Название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LibreOffice/7.2.3.2$Linux_X86_64 LibreOffice_project/a49ed84f3d037188bbbcb324f9afc3796d887539</Application>
  <AppVersion>15.0000</AppVersion>
  <Pages>2</Pages>
  <Words>819</Words>
  <Characters>5184</Characters>
  <CharactersWithSpaces>5979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2021-12-15T14:12:46Z</dcterms:created>
  <dc:creator/>
  <dc:description/>
  <dc:language>en-US</dc:language>
  <cp:lastModifiedBy/>
  <dcterms:modified xsi:type="dcterms:W3CDTF">2021-12-15T22:21:33Z</dcterms:modified>
  <cp:revision>3</cp:revision>
  <dc:subject/>
  <dc:title/>
</cp:coreProperties>
</file>