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720" w:right="-187" w:hanging="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bidi w:val="0"/>
        <w:spacing w:lineRule="auto" w:line="240" w:before="0" w:after="0"/>
        <w:ind w:left="-720" w:right="-187" w:hanging="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Body"/>
        <w:shd w:val="clear" w:fill="FFFFFF"/>
        <w:jc w:val="center"/>
        <w:rPr/>
      </w:pPr>
      <w:r>
        <w:rPr>
          <w:rFonts w:ascii="Times New Roman" w:hAnsi="Times New Roman"/>
          <w:b/>
          <w:sz w:val="28"/>
          <w:szCs w:val="24"/>
        </w:rPr>
        <w:t xml:space="preserve">1. </w:t>
      </w:r>
      <w:r>
        <w:rPr>
          <w:rFonts w:ascii="Times New Roman" w:hAnsi="Times New Roman"/>
          <w:b/>
          <w:sz w:val="28"/>
          <w:szCs w:val="24"/>
        </w:rPr>
        <w:t>Природа сверхярких вспышек гамма-излучения в близких галактиках</w:t>
      </w:r>
    </w:p>
    <w:p>
      <w:pPr>
        <w:pStyle w:val="Body"/>
        <w:shd w:val="clear" w:fill="FFFFFF"/>
        <w:jc w:val="center"/>
        <w:rPr>
          <w:rFonts w:ascii="Times New Roman" w:hAnsi="Times New Roman" w:cs="Times New Roman"/>
        </w:rPr>
      </w:pPr>
      <w:r>
        <w:rPr>
          <w:rFonts w:cs="Times New Roman" w:ascii="Times New Roman" w:hAnsi="Times New Roman"/>
        </w:rPr>
      </w:r>
    </w:p>
    <w:p>
      <w:pPr>
        <w:pStyle w:val="Body"/>
        <w:shd w:val="clear" w:fill="FFFFFF"/>
        <w:jc w:val="center"/>
        <w:rPr>
          <w:rFonts w:ascii="Times New Roman" w:hAnsi="Times New Roman"/>
          <w:iCs/>
          <w:sz w:val="24"/>
          <w:szCs w:val="24"/>
        </w:rPr>
      </w:pPr>
      <w:r>
        <w:rPr>
          <w:rFonts w:ascii="Times New Roman" w:hAnsi="Times New Roman"/>
          <w:iCs/>
          <w:sz w:val="24"/>
          <w:szCs w:val="24"/>
        </w:rPr>
        <w:t>Д. Свинкин</w:t>
      </w:r>
      <w:r>
        <w:rPr>
          <w:rFonts w:ascii="Times New Roman" w:hAnsi="Times New Roman"/>
          <w:iCs/>
          <w:sz w:val="24"/>
          <w:szCs w:val="24"/>
          <w:vertAlign w:val="superscript"/>
        </w:rPr>
        <w:t>1</w:t>
      </w:r>
      <w:r>
        <w:rPr>
          <w:rFonts w:ascii="Times New Roman" w:hAnsi="Times New Roman"/>
          <w:iCs/>
          <w:sz w:val="24"/>
          <w:szCs w:val="24"/>
        </w:rPr>
        <w:t>, Д. Фредерикс</w:t>
      </w:r>
      <w:r>
        <w:rPr>
          <w:rFonts w:ascii="Times New Roman" w:hAnsi="Times New Roman"/>
          <w:iCs/>
          <w:sz w:val="24"/>
          <w:szCs w:val="24"/>
          <w:vertAlign w:val="superscript"/>
        </w:rPr>
        <w:t>1</w:t>
      </w:r>
      <w:r>
        <w:rPr>
          <w:rFonts w:ascii="Times New Roman" w:hAnsi="Times New Roman"/>
          <w:iCs/>
          <w:sz w:val="24"/>
          <w:szCs w:val="24"/>
        </w:rPr>
        <w:t>, К. Орли</w:t>
      </w:r>
      <w:r>
        <w:rPr>
          <w:rFonts w:ascii="Times New Roman" w:hAnsi="Times New Roman"/>
          <w:iCs/>
          <w:sz w:val="24"/>
          <w:szCs w:val="24"/>
          <w:vertAlign w:val="superscript"/>
        </w:rPr>
        <w:t>2</w:t>
      </w:r>
      <w:r>
        <w:rPr>
          <w:rFonts w:ascii="Times New Roman" w:hAnsi="Times New Roman"/>
          <w:iCs/>
          <w:sz w:val="24"/>
          <w:szCs w:val="24"/>
        </w:rPr>
        <w:t>, Р. Аптекарь</w:t>
      </w:r>
      <w:r>
        <w:rPr>
          <w:rFonts w:ascii="Times New Roman" w:hAnsi="Times New Roman"/>
          <w:iCs/>
          <w:sz w:val="24"/>
          <w:szCs w:val="24"/>
          <w:vertAlign w:val="superscript"/>
        </w:rPr>
        <w:t>1</w:t>
      </w:r>
      <w:r>
        <w:rPr>
          <w:rFonts w:ascii="Times New Roman" w:hAnsi="Times New Roman"/>
          <w:iCs/>
          <w:sz w:val="24"/>
          <w:szCs w:val="24"/>
        </w:rPr>
        <w:t>, С. Голенецкий</w:t>
      </w:r>
      <w:r>
        <w:rPr>
          <w:rFonts w:ascii="Times New Roman" w:hAnsi="Times New Roman"/>
          <w:iCs/>
          <w:sz w:val="24"/>
          <w:szCs w:val="24"/>
          <w:vertAlign w:val="superscript"/>
        </w:rPr>
        <w:t>1</w:t>
      </w:r>
      <w:r>
        <w:rPr>
          <w:rFonts w:ascii="Times New Roman" w:hAnsi="Times New Roman"/>
          <w:iCs/>
          <w:sz w:val="24"/>
          <w:szCs w:val="24"/>
        </w:rPr>
        <w:t>, А. Лысенко</w:t>
      </w:r>
      <w:r>
        <w:rPr>
          <w:rFonts w:ascii="Times New Roman" w:hAnsi="Times New Roman"/>
          <w:iCs/>
          <w:sz w:val="24"/>
          <w:szCs w:val="24"/>
          <w:vertAlign w:val="superscript"/>
        </w:rPr>
        <w:t>1</w:t>
      </w:r>
      <w:r>
        <w:rPr>
          <w:rFonts w:ascii="Times New Roman" w:hAnsi="Times New Roman"/>
          <w:iCs/>
          <w:sz w:val="24"/>
          <w:szCs w:val="24"/>
        </w:rPr>
        <w:t>, А. Ридная</w:t>
      </w:r>
      <w:r>
        <w:rPr>
          <w:rFonts w:ascii="Times New Roman" w:hAnsi="Times New Roman"/>
          <w:iCs/>
          <w:sz w:val="24"/>
          <w:szCs w:val="24"/>
          <w:vertAlign w:val="superscript"/>
        </w:rPr>
        <w:t>1</w:t>
      </w:r>
      <w:r>
        <w:rPr>
          <w:rFonts w:ascii="Times New Roman" w:hAnsi="Times New Roman"/>
          <w:iCs/>
          <w:sz w:val="24"/>
          <w:szCs w:val="24"/>
        </w:rPr>
        <w:t>, А. Цветкова</w:t>
      </w:r>
      <w:r>
        <w:rPr>
          <w:rFonts w:ascii="Times New Roman" w:hAnsi="Times New Roman"/>
          <w:iCs/>
          <w:sz w:val="24"/>
          <w:szCs w:val="24"/>
          <w:vertAlign w:val="superscript"/>
        </w:rPr>
        <w:t>1</w:t>
      </w:r>
      <w:r>
        <w:rPr>
          <w:rFonts w:ascii="Times New Roman" w:hAnsi="Times New Roman"/>
          <w:iCs/>
          <w:sz w:val="24"/>
          <w:szCs w:val="24"/>
        </w:rPr>
        <w:t>, М. Уланов</w:t>
      </w:r>
      <w:r>
        <w:rPr>
          <w:rFonts w:ascii="Times New Roman" w:hAnsi="Times New Roman"/>
          <w:iCs/>
          <w:sz w:val="24"/>
          <w:szCs w:val="24"/>
          <w:vertAlign w:val="superscript"/>
        </w:rPr>
        <w:t>1</w:t>
      </w:r>
      <w:r>
        <w:rPr>
          <w:rFonts w:ascii="Times New Roman" w:hAnsi="Times New Roman"/>
          <w:iCs/>
          <w:sz w:val="24"/>
          <w:szCs w:val="24"/>
        </w:rPr>
        <w:t>, И. Митрофанов</w:t>
      </w:r>
      <w:r>
        <w:rPr>
          <w:rFonts w:ascii="Times New Roman" w:hAnsi="Times New Roman"/>
          <w:iCs/>
          <w:sz w:val="24"/>
          <w:szCs w:val="24"/>
          <w:vertAlign w:val="superscript"/>
        </w:rPr>
        <w:t>3</w:t>
      </w:r>
      <w:r>
        <w:rPr>
          <w:rFonts w:ascii="Times New Roman" w:hAnsi="Times New Roman"/>
          <w:iCs/>
          <w:sz w:val="24"/>
          <w:szCs w:val="24"/>
        </w:rPr>
        <w:t>, Д. Головин</w:t>
      </w:r>
      <w:r>
        <w:rPr>
          <w:rFonts w:ascii="Times New Roman" w:hAnsi="Times New Roman"/>
          <w:iCs/>
          <w:sz w:val="24"/>
          <w:szCs w:val="24"/>
          <w:vertAlign w:val="superscript"/>
        </w:rPr>
        <w:t>3</w:t>
      </w:r>
      <w:r>
        <w:rPr>
          <w:rFonts w:ascii="Times New Roman" w:hAnsi="Times New Roman"/>
          <w:iCs/>
          <w:sz w:val="24"/>
          <w:szCs w:val="24"/>
        </w:rPr>
        <w:t>, А. Козырев</w:t>
      </w:r>
      <w:r>
        <w:rPr>
          <w:rFonts w:ascii="Times New Roman" w:hAnsi="Times New Roman"/>
          <w:iCs/>
          <w:sz w:val="24"/>
          <w:szCs w:val="24"/>
          <w:vertAlign w:val="superscript"/>
        </w:rPr>
        <w:t>3</w:t>
      </w:r>
      <w:r>
        <w:rPr>
          <w:rFonts w:ascii="Times New Roman" w:hAnsi="Times New Roman"/>
          <w:iCs/>
          <w:sz w:val="24"/>
          <w:szCs w:val="24"/>
        </w:rPr>
        <w:t>, М. Литвак</w:t>
      </w:r>
      <w:r>
        <w:rPr>
          <w:rFonts w:ascii="Times New Roman" w:hAnsi="Times New Roman"/>
          <w:iCs/>
          <w:sz w:val="24"/>
          <w:szCs w:val="24"/>
          <w:vertAlign w:val="superscript"/>
        </w:rPr>
        <w:t>3</w:t>
      </w:r>
      <w:r>
        <w:rPr>
          <w:rFonts w:ascii="Times New Roman" w:hAnsi="Times New Roman"/>
          <w:iCs/>
          <w:sz w:val="24"/>
          <w:szCs w:val="24"/>
        </w:rPr>
        <w:t>, А. Санин</w:t>
      </w:r>
      <w:r>
        <w:rPr>
          <w:rFonts w:ascii="Times New Roman" w:hAnsi="Times New Roman"/>
          <w:iCs/>
          <w:sz w:val="24"/>
          <w:szCs w:val="24"/>
          <w:vertAlign w:val="superscript"/>
        </w:rPr>
        <w:t xml:space="preserve">3 </w:t>
      </w:r>
    </w:p>
    <w:p>
      <w:pPr>
        <w:pStyle w:val="Body"/>
        <w:shd w:val="clear" w:fill="FFFFFF"/>
        <w:jc w:val="center"/>
        <w:rPr>
          <w:rFonts w:ascii="Times New Roman" w:hAnsi="Times New Roman"/>
          <w:i/>
          <w:i/>
          <w:iCs/>
          <w:sz w:val="24"/>
          <w:szCs w:val="24"/>
        </w:rPr>
      </w:pPr>
      <w:r>
        <w:rPr>
          <w:rFonts w:ascii="Times New Roman" w:hAnsi="Times New Roman"/>
          <w:i/>
          <w:iCs/>
          <w:sz w:val="24"/>
          <w:szCs w:val="24"/>
        </w:rPr>
      </w:r>
    </w:p>
    <w:p>
      <w:pPr>
        <w:pStyle w:val="Body"/>
        <w:shd w:val="clear" w:fill="FFFFFF"/>
        <w:jc w:val="center"/>
        <w:rPr>
          <w:rFonts w:ascii="Times New Roman" w:hAnsi="Times New Roman" w:cs="Times New Roman"/>
          <w:iCs/>
          <w:lang w:val="en-US"/>
        </w:rPr>
      </w:pPr>
      <w:r>
        <w:rPr>
          <w:rFonts w:ascii="Times New Roman" w:hAnsi="Times New Roman"/>
          <w:iCs/>
          <w:vertAlign w:val="superscript"/>
          <w:lang w:val="en-US"/>
        </w:rPr>
        <w:t>1</w:t>
      </w:r>
      <w:r>
        <w:rPr>
          <w:rFonts w:ascii="Times New Roman" w:hAnsi="Times New Roman"/>
          <w:iCs/>
          <w:lang w:val="en-US"/>
        </w:rPr>
        <w:t xml:space="preserve"> </w:t>
      </w:r>
      <w:r>
        <w:rPr>
          <w:rFonts w:ascii="Times New Roman" w:hAnsi="Times New Roman"/>
          <w:iCs/>
        </w:rPr>
        <w:t>ФТИ</w:t>
      </w:r>
      <w:r>
        <w:rPr>
          <w:rFonts w:ascii="Times New Roman" w:hAnsi="Times New Roman"/>
          <w:iCs/>
          <w:lang w:val="en-US"/>
        </w:rPr>
        <w:t xml:space="preserve"> </w:t>
      </w:r>
      <w:r>
        <w:rPr>
          <w:rFonts w:ascii="Times New Roman" w:hAnsi="Times New Roman"/>
          <w:iCs/>
        </w:rPr>
        <w:t>им</w:t>
      </w:r>
      <w:r>
        <w:rPr>
          <w:rFonts w:ascii="Times New Roman" w:hAnsi="Times New Roman"/>
          <w:iCs/>
          <w:lang w:val="en-US"/>
        </w:rPr>
        <w:t xml:space="preserve">. </w:t>
      </w:r>
      <w:r>
        <w:rPr>
          <w:rFonts w:ascii="Times New Roman" w:hAnsi="Times New Roman"/>
          <w:iCs/>
        </w:rPr>
        <w:t>А</w:t>
      </w:r>
      <w:r>
        <w:rPr>
          <w:rFonts w:ascii="Times New Roman" w:hAnsi="Times New Roman"/>
          <w:iCs/>
          <w:lang w:val="en-US"/>
        </w:rPr>
        <w:t>.</w:t>
      </w:r>
      <w:r>
        <w:rPr>
          <w:rFonts w:ascii="Times New Roman" w:hAnsi="Times New Roman"/>
          <w:iCs/>
        </w:rPr>
        <w:t>Ф</w:t>
      </w:r>
      <w:r>
        <w:rPr>
          <w:rFonts w:ascii="Times New Roman" w:hAnsi="Times New Roman"/>
          <w:iCs/>
          <w:lang w:val="en-US"/>
        </w:rPr>
        <w:t xml:space="preserve">. </w:t>
      </w:r>
      <w:r>
        <w:rPr>
          <w:rFonts w:ascii="Times New Roman" w:hAnsi="Times New Roman"/>
          <w:iCs/>
        </w:rPr>
        <w:t>Иоффе</w:t>
      </w:r>
      <w:r>
        <w:rPr>
          <w:rFonts w:ascii="Times New Roman" w:hAnsi="Times New Roman"/>
          <w:iCs/>
          <w:lang w:val="en-US"/>
        </w:rPr>
        <w:t xml:space="preserve">; </w:t>
      </w:r>
      <w:r>
        <w:rPr>
          <w:rFonts w:ascii="Times New Roman" w:hAnsi="Times New Roman"/>
          <w:iCs/>
          <w:vertAlign w:val="superscript"/>
          <w:lang w:val="en-US"/>
        </w:rPr>
        <w:t>2</w:t>
      </w:r>
      <w:r>
        <w:rPr>
          <w:rFonts w:ascii="Times New Roman" w:hAnsi="Times New Roman"/>
          <w:iCs/>
          <w:lang w:val="en-US"/>
        </w:rPr>
        <w:t xml:space="preserve"> University of California, Berkeley, CA, USA; </w:t>
      </w:r>
      <w:r>
        <w:rPr>
          <w:rFonts w:ascii="Times New Roman" w:hAnsi="Times New Roman"/>
          <w:iCs/>
          <w:vertAlign w:val="superscript"/>
          <w:lang w:val="en-US"/>
        </w:rPr>
        <w:t xml:space="preserve">3 </w:t>
      </w:r>
      <w:r>
        <w:rPr>
          <w:rFonts w:ascii="Times New Roman" w:hAnsi="Times New Roman"/>
          <w:iCs/>
        </w:rPr>
        <w:t>ИКИ</w:t>
      </w:r>
      <w:r>
        <w:rPr>
          <w:rFonts w:ascii="Times New Roman" w:hAnsi="Times New Roman"/>
          <w:iCs/>
          <w:lang w:val="en-US"/>
        </w:rPr>
        <w:t xml:space="preserve"> </w:t>
      </w:r>
      <w:r>
        <w:rPr>
          <w:rFonts w:ascii="Times New Roman" w:hAnsi="Times New Roman"/>
          <w:iCs/>
        </w:rPr>
        <w:t>РАН</w:t>
      </w:r>
    </w:p>
    <w:p>
      <w:pPr>
        <w:pStyle w:val="Body"/>
        <w:shd w:val="clear" w:fill="FFFFFF"/>
        <w:jc w:val="both"/>
        <w:rPr>
          <w:rFonts w:ascii="Times New Roman" w:hAnsi="Times New Roman" w:cs="Times New Roman"/>
          <w:i/>
          <w:i/>
          <w:iCs/>
          <w:sz w:val="24"/>
          <w:szCs w:val="24"/>
          <w:lang w:val="en-US"/>
        </w:rPr>
      </w:pPr>
      <w:r>
        <w:rPr>
          <w:rFonts w:cs="Times New Roman" w:ascii="Times New Roman" w:hAnsi="Times New Roman"/>
          <w:i/>
          <w:iCs/>
          <w:sz w:val="24"/>
          <w:szCs w:val="24"/>
          <w:lang w:val="en-US"/>
        </w:rPr>
      </w:r>
    </w:p>
    <w:p>
      <w:pPr>
        <w:pStyle w:val="Body"/>
        <w:shd w:val="clear" w:fill="FFFFFF"/>
        <w:jc w:val="both"/>
        <w:rPr>
          <w:rFonts w:ascii="Times New Roman" w:hAnsi="Times New Roman"/>
          <w:sz w:val="24"/>
          <w:szCs w:val="24"/>
        </w:rPr>
      </w:pPr>
      <w:r>
        <w:rPr>
          <w:rFonts w:ascii="Times New Roman" w:hAnsi="Times New Roman"/>
          <w:sz w:val="24"/>
          <w:szCs w:val="24"/>
        </w:rPr>
        <w:t>Исследования космических гамма-всплесков – наиболее ярких вспышек гамма-излучения во Вселенной – являются одним из основных направлений современной астрофизики. Особый интерес в последние годы прикован к природе так называемых коротких гамма-всплесков, вызванных слиянием нейтронных звезд в далеких галактиках и отождествленных в 2017 году с источниками гравитационных волн. Исключительно яркий всплеск гамма-излучения GRB 200415A, длительностью несколько десятых долей секунды, был зарегистрирован космическими гамма-спектрометрами «Конус-ВИНД» (ФТИ</w:t>
      </w:r>
      <w:r>
        <w:rPr>
          <w:rFonts w:ascii="Times New Roman" w:hAnsi="Times New Roman"/>
          <w:sz w:val="24"/>
          <w:szCs w:val="24"/>
          <w:lang w:val="en-US"/>
        </w:rPr>
        <w:t> </w:t>
      </w:r>
      <w:r>
        <w:rPr>
          <w:rFonts w:ascii="Times New Roman" w:hAnsi="Times New Roman"/>
          <w:sz w:val="24"/>
          <w:szCs w:val="24"/>
        </w:rPr>
        <w:t>им.</w:t>
      </w:r>
      <w:r>
        <w:rPr>
          <w:rFonts w:ascii="Times New Roman" w:hAnsi="Times New Roman"/>
          <w:sz w:val="24"/>
          <w:szCs w:val="24"/>
          <w:lang w:val="en-US"/>
        </w:rPr>
        <w:t> </w:t>
      </w:r>
      <w:r>
        <w:rPr>
          <w:rFonts w:ascii="Times New Roman" w:hAnsi="Times New Roman"/>
          <w:sz w:val="24"/>
          <w:szCs w:val="24"/>
        </w:rPr>
        <w:t>А.Ф.</w:t>
      </w:r>
      <w:r>
        <w:rPr>
          <w:rFonts w:ascii="Times New Roman" w:hAnsi="Times New Roman"/>
          <w:sz w:val="24"/>
          <w:szCs w:val="24"/>
          <w:lang w:val="en-US"/>
        </w:rPr>
        <w:t> </w:t>
      </w:r>
      <w:r>
        <w:rPr>
          <w:rFonts w:ascii="Times New Roman" w:hAnsi="Times New Roman"/>
          <w:sz w:val="24"/>
          <w:szCs w:val="24"/>
        </w:rPr>
        <w:t>Иоффе), HEND (ИКИ</w:t>
      </w:r>
      <w:r>
        <w:rPr>
          <w:rFonts w:ascii="Times New Roman" w:hAnsi="Times New Roman"/>
          <w:sz w:val="24"/>
          <w:szCs w:val="24"/>
          <w:lang w:val="en-US"/>
        </w:rPr>
        <w:t> </w:t>
      </w:r>
      <w:r>
        <w:rPr>
          <w:rFonts w:ascii="Times New Roman" w:hAnsi="Times New Roman"/>
          <w:sz w:val="24"/>
          <w:szCs w:val="24"/>
        </w:rPr>
        <w:t>РАН), а также детекторами ряда других космических обсерваторий. Прецизионная локализация источника всплеска на небесной сфере, выполненная сотрудниками ФТИ им. А.Ф. Иоффе во взаимодействии с российскими, американскими и европейскими коллегами, показала, что он находится в близкой (на расстоянии 11 миллионов световых лет) галактике NGC 253 (Рис. 1). Анализ события, проведенный в ФТИ по данным эксперимента «Конус-ВИНД», установил, что временной профиль (Рис. 2) и другие параметры вспышки практически идентичны характеристикам ранее зарегистрированного всплеска GRB 051103, источник которого, предположительно, находился в галактике M81, находящейся от нас на приблизительно таком же расстоянии, как NGC 253. Кроме того, было обнаружено поразительное сходство характеристик всплесков GRB 051103 и GRB 200415A со свойствами гигантских вспышек магнитаров в нашей Галактике – исключительно редких событий, энергия которых, выделенная в десятые доли секунды, превосходит энергию, излучаемою Солнцем за сотни тысяч лет. Данное открытие впервые достоверно продемонстрировало, что часть коротких гамма-всплесков не связана со слиянием нейтронных звезд и имеет магнитарную природу.</w:t>
      </w:r>
    </w:p>
    <w:tbl>
      <w:tblPr>
        <w:tblpPr w:bottomFromText="0" w:horzAnchor="text" w:leftFromText="180" w:rightFromText="180" w:tblpX="0" w:tblpY="1" w:topFromText="0" w:vertAnchor="text"/>
        <w:tblW w:w="9638" w:type="dxa"/>
        <w:jc w:val="left"/>
        <w:tblInd w:w="0" w:type="dxa"/>
        <w:tblBorders/>
        <w:tblCellMar>
          <w:top w:w="0" w:type="dxa"/>
          <w:left w:w="108" w:type="dxa"/>
          <w:bottom w:w="0" w:type="dxa"/>
          <w:right w:w="108" w:type="dxa"/>
        </w:tblCellMar>
        <w:tblLook w:noVBand="0" w:val="01e0" w:noHBand="0" w:lastColumn="1" w:firstColumn="1" w:lastRow="1" w:firstRow="1"/>
      </w:tblPr>
      <w:tblGrid>
        <w:gridCol w:w="4792"/>
        <w:gridCol w:w="4845"/>
      </w:tblGrid>
      <w:tr>
        <w:trPr/>
        <w:tc>
          <w:tcPr>
            <w:tcW w:w="4792" w:type="dxa"/>
            <w:tcBorders/>
            <w:shd w:fill="auto" w:val="clear"/>
          </w:tcPr>
          <w:p>
            <w:pPr>
              <w:pStyle w:val="Body"/>
              <w:widowControl w:val="false"/>
              <w:shd w:val="clear" w:fill="FFFFFF"/>
              <w:jc w:val="both"/>
              <w:rPr>
                <w:rFonts w:ascii="Times New Roman" w:hAnsi="Times New Roman"/>
                <w:sz w:val="24"/>
                <w:szCs w:val="24"/>
                <w:lang w:val="en-US"/>
              </w:rPr>
            </w:pPr>
            <w:r>
              <w:rPr/>
              <w:drawing>
                <wp:inline distT="0" distB="0" distL="0" distR="0">
                  <wp:extent cx="2343150" cy="2219325"/>
                  <wp:effectExtent l="0" t="0" r="0" b="0"/>
                  <wp:docPr id="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9" descr=""/>
                          <pic:cNvPicPr>
                            <a:picLocks noChangeAspect="1" noChangeArrowheads="1"/>
                          </pic:cNvPicPr>
                        </pic:nvPicPr>
                        <pic:blipFill>
                          <a:blip r:embed="rId2"/>
                          <a:stretch>
                            <a:fillRect/>
                          </a:stretch>
                        </pic:blipFill>
                        <pic:spPr bwMode="auto">
                          <a:xfrm>
                            <a:off x="0" y="0"/>
                            <a:ext cx="2343150" cy="2219325"/>
                          </a:xfrm>
                          <a:prstGeom prst="rect">
                            <a:avLst/>
                          </a:prstGeom>
                        </pic:spPr>
                      </pic:pic>
                    </a:graphicData>
                  </a:graphic>
                </wp:inline>
              </w:drawing>
            </w:r>
          </w:p>
        </w:tc>
        <w:tc>
          <w:tcPr>
            <w:tcW w:w="4845" w:type="dxa"/>
            <w:tcBorders/>
            <w:shd w:fill="auto" w:val="clear"/>
          </w:tcPr>
          <w:p>
            <w:pPr>
              <w:pStyle w:val="Body"/>
              <w:widowControl w:val="false"/>
              <w:shd w:val="clear" w:fill="FFFFFF"/>
              <w:jc w:val="both"/>
              <w:rPr>
                <w:rFonts w:ascii="Times New Roman" w:hAnsi="Times New Roman"/>
                <w:sz w:val="24"/>
                <w:szCs w:val="24"/>
                <w:lang w:val="en-US"/>
              </w:rPr>
            </w:pPr>
            <w:r>
              <w:rPr/>
              <w:drawing>
                <wp:inline distT="0" distB="0" distL="0" distR="0">
                  <wp:extent cx="2695575" cy="2200275"/>
                  <wp:effectExtent l="0" t="0" r="0" b="0"/>
                  <wp:docPr id="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
                          <pic:cNvPicPr>
                            <a:picLocks noChangeAspect="1" noChangeArrowheads="1"/>
                          </pic:cNvPicPr>
                        </pic:nvPicPr>
                        <pic:blipFill>
                          <a:blip r:embed="rId3"/>
                          <a:stretch>
                            <a:fillRect/>
                          </a:stretch>
                        </pic:blipFill>
                        <pic:spPr bwMode="auto">
                          <a:xfrm>
                            <a:off x="0" y="0"/>
                            <a:ext cx="2695575" cy="2200275"/>
                          </a:xfrm>
                          <a:prstGeom prst="rect">
                            <a:avLst/>
                          </a:prstGeom>
                        </pic:spPr>
                      </pic:pic>
                    </a:graphicData>
                  </a:graphic>
                </wp:inline>
              </w:drawing>
            </w:r>
          </w:p>
        </w:tc>
      </w:tr>
      <w:tr>
        <w:trPr/>
        <w:tc>
          <w:tcPr>
            <w:tcW w:w="4792" w:type="dxa"/>
            <w:tcBorders/>
            <w:shd w:fill="auto" w:val="clear"/>
          </w:tcPr>
          <w:p>
            <w:pPr>
              <w:pStyle w:val="Body"/>
              <w:widowControl w:val="false"/>
              <w:shd w:val="clear" w:fill="FFFFFF"/>
              <w:jc w:val="both"/>
              <w:rPr>
                <w:rFonts w:ascii="Times New Roman" w:hAnsi="Times New Roman"/>
                <w:b/>
                <w:b/>
                <w:sz w:val="20"/>
                <w:szCs w:val="20"/>
                <w:highlight w:val="white"/>
              </w:rPr>
            </w:pPr>
            <w:r>
              <w:rPr>
                <w:rFonts w:ascii="Times New Roman" w:hAnsi="Times New Roman"/>
                <w:b/>
                <w:sz w:val="20"/>
                <w:szCs w:val="20"/>
                <w:shd w:fill="FFFFFF" w:val="clear"/>
              </w:rPr>
              <w:t>Рис. 1</w:t>
            </w:r>
            <w:r>
              <w:rPr>
                <w:rFonts w:ascii="Times New Roman" w:hAnsi="Times New Roman"/>
                <w:sz w:val="20"/>
                <w:szCs w:val="20"/>
                <w:shd w:fill="FFFFFF" w:val="clear"/>
              </w:rPr>
              <w:t xml:space="preserve"> Локализация источника сверхяркой вспышки гамма-излучения </w:t>
            </w:r>
            <w:r>
              <w:rPr>
                <w:rFonts w:ascii="Times New Roman" w:hAnsi="Times New Roman"/>
                <w:sz w:val="20"/>
                <w:szCs w:val="20"/>
                <w:shd w:fill="FFFFFF" w:val="clear"/>
                <w:lang w:val="en-US"/>
              </w:rPr>
              <w:t>GRB </w:t>
            </w:r>
            <w:r>
              <w:rPr>
                <w:rFonts w:ascii="Times New Roman" w:hAnsi="Times New Roman"/>
                <w:sz w:val="20"/>
                <w:szCs w:val="20"/>
                <w:shd w:fill="FFFFFF" w:val="clear"/>
              </w:rPr>
              <w:t>200415</w:t>
            </w:r>
            <w:r>
              <w:rPr>
                <w:rFonts w:ascii="Times New Roman" w:hAnsi="Times New Roman"/>
                <w:sz w:val="20"/>
                <w:szCs w:val="20"/>
                <w:shd w:fill="FFFFFF" w:val="clear"/>
                <w:lang w:val="en-US"/>
              </w:rPr>
              <w:t>A</w:t>
            </w:r>
            <w:r>
              <w:rPr>
                <w:rFonts w:ascii="Times New Roman" w:hAnsi="Times New Roman"/>
                <w:sz w:val="20"/>
                <w:szCs w:val="20"/>
                <w:shd w:fill="FFFFFF" w:val="clear"/>
              </w:rPr>
              <w:t xml:space="preserve"> в близкой галактике </w:t>
            </w:r>
            <w:r>
              <w:rPr>
                <w:rFonts w:ascii="Times New Roman" w:hAnsi="Times New Roman"/>
                <w:sz w:val="20"/>
                <w:szCs w:val="20"/>
                <w:shd w:fill="FFFFFF" w:val="clear"/>
                <w:lang w:val="en-US"/>
              </w:rPr>
              <w:t>NGC </w:t>
            </w:r>
            <w:r>
              <w:rPr>
                <w:rFonts w:ascii="Times New Roman" w:hAnsi="Times New Roman"/>
                <w:sz w:val="20"/>
                <w:szCs w:val="20"/>
                <w:shd w:fill="FFFFFF" w:val="clear"/>
              </w:rPr>
              <w:t>253.</w:t>
            </w:r>
          </w:p>
        </w:tc>
        <w:tc>
          <w:tcPr>
            <w:tcW w:w="4845" w:type="dxa"/>
            <w:tcBorders/>
            <w:shd w:fill="auto" w:val="clear"/>
          </w:tcPr>
          <w:p>
            <w:pPr>
              <w:pStyle w:val="Body"/>
              <w:widowControl w:val="false"/>
              <w:shd w:val="clear" w:fill="FFFFFF"/>
              <w:jc w:val="both"/>
              <w:rPr>
                <w:rFonts w:ascii="Times New Roman" w:hAnsi="Times New Roman"/>
                <w:b/>
                <w:b/>
                <w:sz w:val="20"/>
                <w:szCs w:val="20"/>
                <w:highlight w:val="white"/>
              </w:rPr>
            </w:pPr>
            <w:r>
              <w:rPr>
                <w:rFonts w:ascii="Times New Roman" w:hAnsi="Times New Roman"/>
                <w:b/>
                <w:sz w:val="20"/>
                <w:szCs w:val="20"/>
                <w:shd w:fill="FFFFFF" w:val="clear"/>
              </w:rPr>
              <w:t>Рис.</w:t>
            </w:r>
            <w:r>
              <w:rPr>
                <w:rFonts w:ascii="Times New Roman" w:hAnsi="Times New Roman"/>
                <w:b/>
                <w:sz w:val="20"/>
                <w:szCs w:val="20"/>
                <w:shd w:fill="FFFFFF" w:val="clear"/>
                <w:lang w:val="en-US"/>
              </w:rPr>
              <w:t> </w:t>
            </w:r>
            <w:r>
              <w:rPr>
                <w:rFonts w:ascii="Times New Roman" w:hAnsi="Times New Roman"/>
                <w:b/>
                <w:sz w:val="20"/>
                <w:szCs w:val="20"/>
                <w:shd w:fill="FFFFFF" w:val="clear"/>
              </w:rPr>
              <w:t>2</w:t>
            </w:r>
            <w:r>
              <w:rPr>
                <w:rFonts w:ascii="Times New Roman" w:hAnsi="Times New Roman"/>
                <w:sz w:val="20"/>
                <w:szCs w:val="20"/>
                <w:shd w:fill="FFFFFF" w:val="clear"/>
              </w:rPr>
              <w:t xml:space="preserve"> Временные профили гигантских вспышек магнитаров в галактиках </w:t>
            </w:r>
            <w:r>
              <w:rPr>
                <w:rFonts w:ascii="Times New Roman" w:hAnsi="Times New Roman"/>
                <w:sz w:val="20"/>
                <w:szCs w:val="20"/>
                <w:shd w:fill="FFFFFF" w:val="clear"/>
                <w:lang w:val="en-US"/>
              </w:rPr>
              <w:t>M</w:t>
            </w:r>
            <w:r>
              <w:rPr>
                <w:rFonts w:ascii="Times New Roman" w:hAnsi="Times New Roman"/>
                <w:sz w:val="20"/>
                <w:szCs w:val="20"/>
                <w:shd w:fill="FFFFFF" w:val="clear"/>
              </w:rPr>
              <w:t xml:space="preserve">81 (синий) и </w:t>
            </w:r>
            <w:r>
              <w:rPr>
                <w:rFonts w:ascii="Times New Roman" w:hAnsi="Times New Roman"/>
                <w:sz w:val="20"/>
                <w:szCs w:val="20"/>
                <w:shd w:fill="FFFFFF" w:val="clear"/>
                <w:lang w:val="en-US"/>
              </w:rPr>
              <w:t>NGC </w:t>
            </w:r>
            <w:r>
              <w:rPr>
                <w:rFonts w:ascii="Times New Roman" w:hAnsi="Times New Roman"/>
                <w:sz w:val="20"/>
                <w:szCs w:val="20"/>
                <w:shd w:fill="FFFFFF" w:val="clear"/>
              </w:rPr>
              <w:t>253 (красный), по данным эксперимента «Конус-ВИНД».</w:t>
            </w:r>
          </w:p>
        </w:tc>
      </w:tr>
    </w:tbl>
    <w:p>
      <w:pPr>
        <w:pStyle w:val="BodyA"/>
        <w:spacing w:before="0" w:after="0"/>
        <w:jc w:val="both"/>
        <w:rPr>
          <w:rFonts w:ascii="Times New Roman" w:hAnsi="Times New Roman"/>
          <w:b/>
          <w:b/>
          <w:sz w:val="22"/>
          <w:szCs w:val="22"/>
          <w:highlight w:val="white"/>
        </w:rPr>
      </w:pPr>
      <w:r>
        <w:rPr>
          <w:rFonts w:ascii="Times New Roman" w:hAnsi="Times New Roman"/>
          <w:b/>
          <w:sz w:val="22"/>
          <w:szCs w:val="22"/>
          <w:highlight w:val="white"/>
        </w:rPr>
      </w:r>
    </w:p>
    <w:p>
      <w:pPr>
        <w:pStyle w:val="BodyA"/>
        <w:spacing w:before="0" w:after="0"/>
        <w:jc w:val="both"/>
        <w:rPr>
          <w:rFonts w:ascii="Times New Roman" w:hAnsi="Times New Roman"/>
          <w:sz w:val="22"/>
          <w:szCs w:val="22"/>
          <w:highlight w:val="white"/>
          <w:lang w:val="en-US"/>
        </w:rPr>
      </w:pPr>
      <w:r>
        <w:rPr>
          <w:sz w:val="22"/>
          <w:szCs w:val="22"/>
          <w:shd w:fill="FFFFFF" w:val="clear"/>
        </w:rPr>
        <w:t xml:space="preserve">[1] Svinkin D., Frederiks D., Hurley K., Aptekar R., Golenetskii S., Lysenko A., Ridnaia A. V., Tsvetkova A., Ulanov M., Mitrofanov I., Golovin, D., Kozyrev, A., Litvak, M., Sanin, A., et al. </w:t>
      </w:r>
      <w:r>
        <w:rPr>
          <w:sz w:val="22"/>
          <w:szCs w:val="22"/>
          <w:shd w:fill="FFFFFF" w:val="clear"/>
          <w:lang w:val="en-US"/>
        </w:rPr>
        <w:t xml:space="preserve">“A bright </w:t>
      </w:r>
      <w:r>
        <w:rPr>
          <w:sz w:val="22"/>
          <w:szCs w:val="22"/>
          <w:shd w:fill="FFFFFF" w:val="clear"/>
        </w:rPr>
        <w:t>γ</w:t>
      </w:r>
      <w:r>
        <w:rPr>
          <w:sz w:val="22"/>
          <w:szCs w:val="22"/>
          <w:shd w:fill="FFFFFF" w:val="clear"/>
          <w:lang w:val="en-US"/>
        </w:rPr>
        <w:t>-ray flare interpreted as a giant magnetar flare in NGC 253” // Nature 589 p. 211–213 (2021); DOI: 10.1038/s41586-020-03076-9</w:t>
      </w:r>
    </w:p>
    <w:p>
      <w:pPr>
        <w:pStyle w:val="BodyA"/>
        <w:spacing w:before="0" w:after="0"/>
        <w:jc w:val="both"/>
        <w:rPr>
          <w:rFonts w:ascii="Times New Roman" w:hAnsi="Times New Roman"/>
          <w:color w:val="auto"/>
          <w:sz w:val="20"/>
          <w:highlight w:val="white"/>
          <w:lang w:val="en-US"/>
        </w:rPr>
      </w:pPr>
      <w:r>
        <w:rPr>
          <w:rFonts w:ascii="Times New Roman" w:hAnsi="Times New Roman"/>
          <w:color w:val="auto"/>
          <w:sz w:val="20"/>
          <w:highlight w:val="white"/>
          <w:lang w:val="en-US"/>
        </w:rPr>
      </w:r>
    </w:p>
    <w:p>
      <w:pPr>
        <w:pStyle w:val="BodyA"/>
        <w:spacing w:before="0" w:after="0"/>
        <w:jc w:val="both"/>
        <w:rPr>
          <w:rFonts w:ascii="Times New Roman" w:hAnsi="Times New Roman"/>
          <w:color w:val="auto"/>
          <w:highlight w:val="white"/>
        </w:rPr>
      </w:pPr>
      <w:r>
        <w:rPr>
          <w:rFonts w:ascii="Times New Roman" w:hAnsi="Times New Roman"/>
          <w:color w:val="000000"/>
          <w:shd w:fill="FFFFFF" w:val="clear"/>
        </w:rPr>
        <w:t xml:space="preserve">Направление ПФНИ 1.3.7.3; </w:t>
      </w:r>
      <w:r>
        <w:rPr>
          <w:rFonts w:cs="Times New Roman" w:ascii="Times New Roman" w:hAnsi="Times New Roman"/>
          <w:shd w:fill="FFFFFF" w:val="clear"/>
          <w:lang w:eastAsia="en-GB"/>
        </w:rPr>
        <w:t>Т</w:t>
      </w:r>
      <w:r>
        <w:rPr>
          <w:rFonts w:cs="Times New Roman" w:ascii="Times New Roman" w:hAnsi="Times New Roman"/>
          <w:shd w:fill="FFFFFF" w:val="clear"/>
        </w:rPr>
        <w:t>ема Госзадания ФТИ им. А.Ф. Иоффе</w:t>
      </w:r>
      <w:r>
        <w:rPr>
          <w:rFonts w:ascii="Times New Roman" w:hAnsi="Times New Roman"/>
        </w:rPr>
        <w:t xml:space="preserve"> </w:t>
      </w:r>
      <w:r>
        <w:rPr>
          <w:rFonts w:ascii="Times New Roman" w:hAnsi="Times New Roman"/>
          <w:color w:val="000000"/>
          <w:shd w:fill="FFFFFF" w:val="clear"/>
        </w:rPr>
        <w:t>№ 0040-2019-0025.</w:t>
      </w:r>
      <w:r>
        <w:br w:type="page"/>
      </w:r>
    </w:p>
    <w:p>
      <w:pPr>
        <w:pStyle w:val="Normal"/>
        <w:jc w:val="center"/>
        <w:rPr>
          <w:color w:val="000000"/>
          <w:u w:val="none"/>
        </w:rPr>
      </w:pPr>
      <w:r>
        <w:rPr>
          <w:rFonts w:cs="Times New Roman" w:ascii="Times New Roman" w:hAnsi="Times New Roman"/>
          <w:b/>
          <w:bCs/>
          <w:color w:val="000000"/>
          <w:sz w:val="28"/>
          <w:u w:val="none"/>
        </w:rPr>
        <w:t xml:space="preserve">2. </w:t>
      </w:r>
      <w:r>
        <w:rPr>
          <w:rFonts w:cs="Times New Roman" w:ascii="Times New Roman" w:hAnsi="Times New Roman"/>
          <w:b/>
          <w:bCs/>
          <w:color w:val="000000"/>
          <w:sz w:val="28"/>
          <w:u w:val="none"/>
        </w:rPr>
        <w:t xml:space="preserve">Мощные вспышки петавольтных фотонов и нейтрино в двойных звездных системах </w:t>
      </w:r>
      <w:r>
        <w:rPr>
          <w:rFonts w:cs="Times New Roman" w:ascii="Times New Roman" w:hAnsi="Times New Roman"/>
          <w:b/>
          <w:bCs/>
          <w:color w:val="000000"/>
          <w:sz w:val="28"/>
          <w:u w:val="none"/>
          <w:lang w:val="en-US"/>
        </w:rPr>
        <w:t>c</w:t>
      </w:r>
      <w:r>
        <w:rPr>
          <w:rFonts w:cs="Times New Roman" w:ascii="Times New Roman" w:hAnsi="Times New Roman"/>
          <w:b/>
          <w:bCs/>
          <w:color w:val="000000"/>
          <w:sz w:val="28"/>
          <w:u w:val="none"/>
        </w:rPr>
        <w:t xml:space="preserve"> релятивистским компаньоном</w:t>
      </w:r>
    </w:p>
    <w:p>
      <w:pPr>
        <w:pStyle w:val="Normal"/>
        <w:jc w:val="center"/>
        <w:rPr>
          <w:rFonts w:ascii="Times New Roman" w:hAnsi="Times New Roman" w:cs="Times New Roman"/>
          <w:color w:val="000000"/>
          <w:sz w:val="28"/>
          <w:u w:val="none"/>
        </w:rPr>
      </w:pPr>
      <w:r>
        <w:rPr>
          <w:rFonts w:cs="Times New Roman" w:ascii="Times New Roman" w:hAnsi="Times New Roman"/>
          <w:color w:val="000000"/>
          <w:sz w:val="28"/>
          <w:u w:val="none"/>
        </w:rPr>
      </w:r>
    </w:p>
    <w:p>
      <w:pPr>
        <w:pStyle w:val="Normal"/>
        <w:jc w:val="center"/>
        <w:rPr>
          <w:color w:val="000000"/>
          <w:u w:val="none"/>
        </w:rPr>
      </w:pPr>
      <w:r>
        <w:rPr>
          <w:rFonts w:cs="Times New Roman" w:ascii="Times New Roman" w:hAnsi="Times New Roman"/>
          <w:color w:val="000000"/>
          <w:u w:val="none"/>
        </w:rPr>
        <w:t>А.М. Быков, А.Е. Петров, М.Е. Каляшова, С.В. Троицкий*</w:t>
      </w:r>
    </w:p>
    <w:p>
      <w:pPr>
        <w:pStyle w:val="Normal"/>
        <w:jc w:val="center"/>
        <w:rPr>
          <w:rFonts w:ascii="Times New Roman" w:hAnsi="Times New Roman" w:cs="Times New Roman"/>
          <w:color w:val="000000"/>
          <w:u w:val="none"/>
        </w:rPr>
      </w:pPr>
      <w:r>
        <w:rPr>
          <w:rFonts w:cs="Times New Roman" w:ascii="Times New Roman" w:hAnsi="Times New Roman"/>
          <w:color w:val="000000"/>
          <w:u w:val="none"/>
        </w:rPr>
      </w:r>
    </w:p>
    <w:p>
      <w:pPr>
        <w:pStyle w:val="Normal"/>
        <w:jc w:val="center"/>
        <w:rPr>
          <w:color w:val="000000"/>
          <w:u w:val="none"/>
        </w:rPr>
      </w:pPr>
      <w:r>
        <w:rPr>
          <w:rFonts w:cs="Times New Roman" w:ascii="Times New Roman" w:hAnsi="Times New Roman"/>
          <w:iCs/>
          <w:color w:val="000000"/>
          <w:u w:val="none"/>
        </w:rPr>
        <w:t>ФТИ им. А.Ф. Иоффе</w:t>
      </w:r>
      <w:r>
        <w:rPr>
          <w:rFonts w:cs="Times New Roman" w:ascii="Times New Roman" w:hAnsi="Times New Roman"/>
          <w:color w:val="000000"/>
          <w:u w:val="none"/>
        </w:rPr>
        <w:t>, *ИЯИ РАН</w:t>
      </w:r>
    </w:p>
    <w:p>
      <w:pPr>
        <w:pStyle w:val="Normal"/>
        <w:jc w:val="center"/>
        <w:rPr>
          <w:rFonts w:ascii="Times New Roman" w:hAnsi="Times New Roman" w:cs="Times New Roman"/>
          <w:color w:val="000000"/>
          <w:u w:val="none"/>
        </w:rPr>
      </w:pPr>
      <w:r>
        <w:rPr>
          <w:rFonts w:cs="Times New Roman" w:ascii="Times New Roman" w:hAnsi="Times New Roman"/>
          <w:color w:val="000000"/>
          <w:u w:val="none"/>
        </w:rPr>
      </w:r>
    </w:p>
    <w:p>
      <w:pPr>
        <w:pStyle w:val="Western"/>
        <w:spacing w:lineRule="auto" w:line="240" w:before="0" w:after="0"/>
        <w:jc w:val="both"/>
        <w:rPr>
          <w:color w:val="000000"/>
          <w:u w:val="none"/>
        </w:rPr>
      </w:pPr>
      <w:r>
        <w:rPr>
          <w:color w:val="000000"/>
          <w:u w:val="none"/>
        </w:rPr>
        <w:t>Детектор Carpet-2 (ИЯИ РАН) в 2020 г. зарегистрировал вспышку петаэлектронвольтного (ПэВ = 10</w:t>
      </w:r>
      <w:r>
        <w:rPr>
          <w:color w:val="000000"/>
          <w:u w:val="none"/>
          <w:vertAlign w:val="superscript"/>
        </w:rPr>
        <w:t>15</w:t>
      </w:r>
      <w:r>
        <w:rPr>
          <w:color w:val="000000"/>
          <w:u w:val="none"/>
        </w:rPr>
        <w:t xml:space="preserve"> эВ = 1,6 х 10</w:t>
      </w:r>
      <w:r>
        <w:rPr>
          <w:color w:val="000000"/>
          <w:u w:val="none"/>
          <w:vertAlign w:val="superscript"/>
        </w:rPr>
        <w:t>-4</w:t>
      </w:r>
      <w:r>
        <w:rPr>
          <w:color w:val="000000"/>
          <w:u w:val="none"/>
        </w:rPr>
        <w:t xml:space="preserve"> Дж) гамма-излучения рекордно высокой интенсивности от ранее неотождествленного источника в созвездии Лебедя, одновременно с регистрацией из той же области нейтрино с энергией 150 ТэВ в международном эксперименте IceCube.</w:t>
      </w:r>
    </w:p>
    <w:p>
      <w:pPr>
        <w:pStyle w:val="Western"/>
        <w:spacing w:lineRule="auto" w:line="240" w:before="0" w:after="0"/>
        <w:jc w:val="both"/>
        <w:rPr>
          <w:color w:val="000000"/>
          <w:u w:val="none"/>
        </w:rPr>
      </w:pPr>
      <w:r>
        <w:rPr>
          <w:color w:val="000000"/>
          <w:u w:val="none"/>
        </w:rPr>
        <w:t xml:space="preserve">В 2021 году в ФТИ им. А.Ф. Иоффе предложена модель вспышек ПэВ фотонов и нейтрино от двойных систем, содержащих сверхплотный компактный объект – нейтронную звезду или черную дыру – и массивную звезду класса О или Be.   Кинетические расчеты показали, что при взаимодействии релятивистского ветра пульсара PSR J2032+4127 с плотным диском звезды MT91 213 класса Ве большая часть энерговыделения пульсара может быть конвертирована в протоны ПэВ диапазона. Быстрое, по сравнению со временем прохождения диска, ускорение протонов до десятков ПэВ в сочетании с пороговым характером фотомезонного процесса, производящего фотоны и нейтрино, приводит к мощным вспышкам гамма-излучения и субпетавольтных нейтрино. Модель позволила объяснить открытую на </w:t>
      </w:r>
      <w:r>
        <w:rPr>
          <w:color w:val="000000"/>
          <w:u w:val="none"/>
          <w:lang w:val="en-US"/>
        </w:rPr>
        <w:t>Carpet</w:t>
      </w:r>
      <w:r>
        <w:rPr>
          <w:color w:val="000000"/>
          <w:u w:val="none"/>
        </w:rPr>
        <w:t>-2 вспышку. Внегалактические фотоны с энергиями ПэВ не наблюдаемы из-за рождения пар на микроволновом фоне. ПэВ вспышки галактических релятивистских двойных звезд наблюдаемы на новых гамма (</w:t>
      </w:r>
      <w:r>
        <w:rPr>
          <w:color w:val="000000"/>
          <w:u w:val="none"/>
          <w:lang w:val="en-US"/>
        </w:rPr>
        <w:t>CTA</w:t>
      </w:r>
      <w:r>
        <w:rPr>
          <w:color w:val="000000"/>
          <w:u w:val="none"/>
        </w:rPr>
        <w:t xml:space="preserve">, TAIGA, </w:t>
      </w:r>
      <w:r>
        <w:rPr>
          <w:color w:val="000000"/>
          <w:u w:val="none"/>
          <w:lang w:val="en-US"/>
        </w:rPr>
        <w:t>LHAASO</w:t>
      </w:r>
      <w:r>
        <w:rPr>
          <w:color w:val="000000"/>
          <w:u w:val="none"/>
        </w:rPr>
        <w:t>) и нейтринных (</w:t>
      </w:r>
      <w:r>
        <w:rPr>
          <w:color w:val="000000"/>
          <w:u w:val="none"/>
          <w:lang w:val="en-US"/>
        </w:rPr>
        <w:t>IceCube</w:t>
      </w:r>
      <w:r>
        <w:rPr>
          <w:color w:val="000000"/>
          <w:u w:val="none"/>
        </w:rPr>
        <w:t xml:space="preserve">, Baikal-GVD) обсерваториях.  </w:t>
      </w:r>
    </w:p>
    <w:p>
      <w:pPr>
        <w:pStyle w:val="Western"/>
        <w:spacing w:lineRule="auto" w:line="240" w:before="0" w:after="0"/>
        <w:jc w:val="both"/>
        <w:rPr>
          <w:color w:val="000000"/>
          <w:u w:val="none"/>
        </w:rPr>
      </w:pPr>
      <w:r>
        <w:rPr>
          <w:color w:val="000000"/>
          <w:u w:val="none"/>
        </w:rPr>
        <w:drawing>
          <wp:inline distT="0" distB="0" distL="0" distR="0">
            <wp:extent cx="6120130" cy="2369820"/>
            <wp:effectExtent l="0" t="0" r="0" b="0"/>
            <wp:docPr id="3"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6" descr=""/>
                    <pic:cNvPicPr>
                      <a:picLocks noChangeAspect="1" noChangeArrowheads="1"/>
                    </pic:cNvPicPr>
                  </pic:nvPicPr>
                  <pic:blipFill>
                    <a:blip r:embed="rId4"/>
                    <a:stretch>
                      <a:fillRect/>
                    </a:stretch>
                  </pic:blipFill>
                  <pic:spPr bwMode="auto">
                    <a:xfrm>
                      <a:off x="0" y="0"/>
                      <a:ext cx="6120130" cy="2369820"/>
                    </a:xfrm>
                    <a:prstGeom prst="rect">
                      <a:avLst/>
                    </a:prstGeom>
                  </pic:spPr>
                </pic:pic>
              </a:graphicData>
            </a:graphic>
          </wp:inline>
        </w:drawing>
      </w:r>
    </w:p>
    <w:p>
      <w:pPr>
        <w:pStyle w:val="Western"/>
        <w:spacing w:lineRule="auto" w:line="240" w:before="0" w:after="0"/>
        <w:jc w:val="both"/>
        <w:rPr>
          <w:color w:val="000000"/>
          <w:u w:val="none"/>
        </w:rPr>
      </w:pPr>
      <w:r>
        <w:rPr>
          <w:bCs/>
          <w:color w:val="000000"/>
          <w:spacing w:val="-8"/>
          <w:u w:val="none"/>
        </w:rPr>
        <w:t>Рис. 1.</w:t>
      </w:r>
      <w:r>
        <w:rPr>
          <w:color w:val="000000"/>
          <w:spacing w:val="-8"/>
          <w:u w:val="none"/>
        </w:rPr>
        <w:t xml:space="preserve"> Слева: модельная геометрия двойной системы, содержащей компактный объект (пульсар или черную дыру) и массивную звезду класса Be. Справа: модельные спектры фотонов (синий цвет) и нейтрино (зеленый цвет), произведенных ускоренными протонами в фотомезонном процессе, в сравнении с наблюдаемым во время вспышки потоком петавольтных гамма-лучей (голубая полоса) и оценочным потоком нейтрино (зеленая звезда). Потоки излучения во вспышках на порядок превосходят верхние пределы на стационарные значения (горизонтальные линии). Красные точки на энергиях ниже 10 ТэВ иллюстрируют стационарное излучение пульсарной туманности лептонного происхождения. Вспышечное излучение и нейтрино обусловлены адронным механизмом.</w:t>
      </w:r>
    </w:p>
    <w:p>
      <w:pPr>
        <w:pStyle w:val="Western"/>
        <w:spacing w:lineRule="auto" w:line="240" w:before="0" w:after="0"/>
        <w:jc w:val="both"/>
        <w:rPr>
          <w:color w:val="000000"/>
          <w:u w:val="none"/>
        </w:rPr>
      </w:pPr>
      <w:r>
        <w:rPr>
          <w:color w:val="000000"/>
          <w:u w:val="none"/>
        </w:rPr>
      </w:r>
    </w:p>
    <w:p>
      <w:pPr>
        <w:pStyle w:val="Western"/>
        <w:spacing w:lineRule="auto" w:line="240" w:before="0" w:after="0"/>
        <w:jc w:val="both"/>
        <w:rPr>
          <w:color w:val="000000"/>
          <w:u w:val="none"/>
        </w:rPr>
      </w:pPr>
      <w:r>
        <w:rPr>
          <w:color w:val="000000"/>
          <w:u w:val="none"/>
        </w:rPr>
        <w:t xml:space="preserve">[1] </w:t>
      </w:r>
      <w:r>
        <w:rPr>
          <w:color w:val="000000"/>
          <w:u w:val="none"/>
          <w:lang w:val="en-US"/>
        </w:rPr>
        <w:t>A</w:t>
      </w:r>
      <w:r>
        <w:rPr>
          <w:color w:val="000000"/>
          <w:u w:val="none"/>
        </w:rPr>
        <w:t>.</w:t>
      </w:r>
      <w:r>
        <w:rPr>
          <w:color w:val="000000"/>
          <w:u w:val="none"/>
          <w:lang w:val="en-US"/>
        </w:rPr>
        <w:t>M</w:t>
      </w:r>
      <w:r>
        <w:rPr>
          <w:color w:val="000000"/>
          <w:u w:val="none"/>
        </w:rPr>
        <w:t xml:space="preserve">. </w:t>
      </w:r>
      <w:r>
        <w:rPr>
          <w:color w:val="000000"/>
          <w:u w:val="none"/>
          <w:lang w:val="en-US"/>
        </w:rPr>
        <w:t>Bykov</w:t>
      </w:r>
      <w:r>
        <w:rPr>
          <w:color w:val="000000"/>
          <w:u w:val="none"/>
        </w:rPr>
        <w:t xml:space="preserve">, </w:t>
      </w:r>
      <w:r>
        <w:rPr>
          <w:color w:val="000000"/>
          <w:u w:val="none"/>
          <w:lang w:val="en-US"/>
        </w:rPr>
        <w:t>A</w:t>
      </w:r>
      <w:r>
        <w:rPr>
          <w:color w:val="000000"/>
          <w:u w:val="none"/>
        </w:rPr>
        <w:t>.</w:t>
      </w:r>
      <w:r>
        <w:rPr>
          <w:color w:val="000000"/>
          <w:u w:val="none"/>
          <w:lang w:val="en-US"/>
        </w:rPr>
        <w:t>E</w:t>
      </w:r>
      <w:r>
        <w:rPr>
          <w:color w:val="000000"/>
          <w:u w:val="none"/>
        </w:rPr>
        <w:t xml:space="preserve">. </w:t>
      </w:r>
      <w:r>
        <w:rPr>
          <w:color w:val="000000"/>
          <w:u w:val="none"/>
          <w:lang w:val="en-US"/>
        </w:rPr>
        <w:t>Petrov</w:t>
      </w:r>
      <w:r>
        <w:rPr>
          <w:color w:val="000000"/>
          <w:u w:val="none"/>
        </w:rPr>
        <w:t xml:space="preserve">, </w:t>
      </w:r>
      <w:r>
        <w:rPr>
          <w:color w:val="000000"/>
          <w:u w:val="none"/>
          <w:lang w:val="en-US"/>
        </w:rPr>
        <w:t>M</w:t>
      </w:r>
      <w:r>
        <w:rPr>
          <w:color w:val="000000"/>
          <w:u w:val="none"/>
        </w:rPr>
        <w:t>.</w:t>
      </w:r>
      <w:r>
        <w:rPr>
          <w:color w:val="000000"/>
          <w:u w:val="none"/>
          <w:lang w:val="en-US"/>
        </w:rPr>
        <w:t>E</w:t>
      </w:r>
      <w:r>
        <w:rPr>
          <w:color w:val="000000"/>
          <w:u w:val="none"/>
        </w:rPr>
        <w:t xml:space="preserve">. </w:t>
      </w:r>
      <w:r>
        <w:rPr>
          <w:color w:val="000000"/>
          <w:u w:val="none"/>
          <w:lang w:val="en-US"/>
        </w:rPr>
        <w:t>Kalyashova</w:t>
      </w:r>
      <w:r>
        <w:rPr>
          <w:color w:val="000000"/>
          <w:u w:val="none"/>
        </w:rPr>
        <w:t xml:space="preserve">, </w:t>
      </w:r>
      <w:r>
        <w:rPr>
          <w:color w:val="000000"/>
          <w:u w:val="none"/>
          <w:lang w:val="en-US"/>
        </w:rPr>
        <w:t>S</w:t>
      </w:r>
      <w:r>
        <w:rPr>
          <w:color w:val="000000"/>
          <w:u w:val="none"/>
        </w:rPr>
        <w:t>.</w:t>
      </w:r>
      <w:r>
        <w:rPr>
          <w:color w:val="000000"/>
          <w:u w:val="none"/>
          <w:lang w:val="en-US"/>
        </w:rPr>
        <w:t>V</w:t>
      </w:r>
      <w:r>
        <w:rPr>
          <w:color w:val="000000"/>
          <w:u w:val="none"/>
        </w:rPr>
        <w:t xml:space="preserve">. </w:t>
      </w:r>
      <w:r>
        <w:rPr>
          <w:color w:val="000000"/>
          <w:u w:val="none"/>
          <w:lang w:val="en-US"/>
        </w:rPr>
        <w:t>Troitsky</w:t>
      </w:r>
      <w:r>
        <w:rPr>
          <w:color w:val="000000"/>
          <w:u w:val="none"/>
        </w:rPr>
        <w:t xml:space="preserve"> «</w:t>
      </w:r>
      <w:r>
        <w:rPr>
          <w:color w:val="000000"/>
          <w:u w:val="none"/>
          <w:lang w:val="en-US"/>
        </w:rPr>
        <w:t>PeV</w:t>
      </w:r>
      <w:r>
        <w:rPr>
          <w:color w:val="000000"/>
          <w:u w:val="none"/>
        </w:rPr>
        <w:t xml:space="preserve"> </w:t>
      </w:r>
      <w:r>
        <w:rPr>
          <w:color w:val="000000"/>
          <w:u w:val="none"/>
          <w:lang w:val="en-US"/>
        </w:rPr>
        <w:t>photon</w:t>
      </w:r>
      <w:r>
        <w:rPr>
          <w:color w:val="000000"/>
          <w:u w:val="none"/>
        </w:rPr>
        <w:t xml:space="preserve"> </w:t>
      </w:r>
      <w:r>
        <w:rPr>
          <w:color w:val="000000"/>
          <w:u w:val="none"/>
          <w:lang w:val="en-US"/>
        </w:rPr>
        <w:t>and</w:t>
      </w:r>
      <w:r>
        <w:rPr>
          <w:color w:val="000000"/>
          <w:u w:val="none"/>
        </w:rPr>
        <w:t xml:space="preserve"> </w:t>
      </w:r>
      <w:r>
        <w:rPr>
          <w:color w:val="000000"/>
          <w:u w:val="none"/>
          <w:lang w:val="en-US"/>
        </w:rPr>
        <w:t>neutrino</w:t>
      </w:r>
      <w:r>
        <w:rPr>
          <w:color w:val="000000"/>
          <w:u w:val="none"/>
        </w:rPr>
        <w:t xml:space="preserve"> </w:t>
      </w:r>
      <w:r>
        <w:rPr>
          <w:color w:val="000000"/>
          <w:u w:val="none"/>
          <w:lang w:val="en-US"/>
        </w:rPr>
        <w:t>flares</w:t>
      </w:r>
      <w:r>
        <w:rPr>
          <w:color w:val="000000"/>
          <w:u w:val="none"/>
        </w:rPr>
        <w:t xml:space="preserve"> </w:t>
      </w:r>
      <w:r>
        <w:rPr>
          <w:color w:val="000000"/>
          <w:u w:val="none"/>
          <w:lang w:val="en-US"/>
        </w:rPr>
        <w:t>from</w:t>
      </w:r>
      <w:r>
        <w:rPr>
          <w:color w:val="000000"/>
          <w:u w:val="none"/>
        </w:rPr>
        <w:t xml:space="preserve"> </w:t>
      </w:r>
      <w:r>
        <w:rPr>
          <w:color w:val="000000"/>
          <w:u w:val="none"/>
          <w:lang w:val="en-US"/>
        </w:rPr>
        <w:t>galactic</w:t>
      </w:r>
      <w:r>
        <w:rPr>
          <w:color w:val="000000"/>
          <w:u w:val="none"/>
        </w:rPr>
        <w:t xml:space="preserve"> </w:t>
      </w:r>
      <w:r>
        <w:rPr>
          <w:color w:val="000000"/>
          <w:u w:val="none"/>
          <w:lang w:val="en-US"/>
        </w:rPr>
        <w:t>gamma</w:t>
      </w:r>
      <w:r>
        <w:rPr>
          <w:color w:val="000000"/>
          <w:u w:val="none"/>
        </w:rPr>
        <w:t>-</w:t>
      </w:r>
      <w:r>
        <w:rPr>
          <w:color w:val="000000"/>
          <w:u w:val="none"/>
          <w:lang w:val="en-US"/>
        </w:rPr>
        <w:t>ray</w:t>
      </w:r>
      <w:r>
        <w:rPr>
          <w:color w:val="000000"/>
          <w:u w:val="none"/>
        </w:rPr>
        <w:t xml:space="preserve"> </w:t>
      </w:r>
      <w:r>
        <w:rPr>
          <w:color w:val="000000"/>
          <w:u w:val="none"/>
          <w:lang w:val="en-US"/>
        </w:rPr>
        <w:t>binaries</w:t>
      </w:r>
      <w:r>
        <w:rPr>
          <w:b/>
          <w:bCs/>
          <w:color w:val="000000"/>
          <w:u w:val="none"/>
        </w:rPr>
        <w:t xml:space="preserve">» </w:t>
      </w:r>
      <w:r>
        <w:rPr>
          <w:color w:val="000000"/>
          <w:u w:val="none"/>
          <w:lang w:val="en-US"/>
        </w:rPr>
        <w:t>Astrophysical</w:t>
      </w:r>
      <w:r>
        <w:rPr>
          <w:color w:val="000000"/>
          <w:u w:val="none"/>
        </w:rPr>
        <w:t xml:space="preserve"> </w:t>
      </w:r>
      <w:r>
        <w:rPr>
          <w:color w:val="000000"/>
          <w:u w:val="none"/>
          <w:lang w:val="en-US"/>
        </w:rPr>
        <w:t>Journal</w:t>
      </w:r>
      <w:r>
        <w:rPr>
          <w:color w:val="000000"/>
          <w:u w:val="none"/>
        </w:rPr>
        <w:t xml:space="preserve"> </w:t>
      </w:r>
      <w:r>
        <w:rPr>
          <w:color w:val="000000"/>
          <w:u w:val="none"/>
          <w:lang w:val="en-US"/>
        </w:rPr>
        <w:t>Letters</w:t>
      </w:r>
      <w:r>
        <w:rPr>
          <w:color w:val="000000"/>
          <w:u w:val="none"/>
        </w:rPr>
        <w:t xml:space="preserve">, </w:t>
      </w:r>
      <w:r>
        <w:rPr>
          <w:color w:val="000000"/>
          <w:u w:val="none"/>
          <w:lang w:val="en-US"/>
        </w:rPr>
        <w:t>v</w:t>
      </w:r>
      <w:r>
        <w:rPr>
          <w:color w:val="000000"/>
          <w:u w:val="none"/>
        </w:rPr>
        <w:t xml:space="preserve">. 921, </w:t>
      </w:r>
      <w:r>
        <w:rPr>
          <w:color w:val="000000"/>
          <w:u w:val="none"/>
          <w:lang w:val="en-US"/>
        </w:rPr>
        <w:t>L</w:t>
      </w:r>
      <w:r>
        <w:rPr>
          <w:color w:val="000000"/>
          <w:u w:val="none"/>
        </w:rPr>
        <w:t xml:space="preserve">10, 2021). </w:t>
      </w:r>
    </w:p>
    <w:p>
      <w:pPr>
        <w:pStyle w:val="Western"/>
        <w:spacing w:lineRule="auto" w:line="240" w:before="0" w:after="0"/>
        <w:jc w:val="both"/>
        <w:rPr>
          <w:b/>
          <w:b/>
          <w:bCs/>
          <w:color w:val="000000"/>
          <w:u w:val="none"/>
        </w:rPr>
      </w:pPr>
      <w:r>
        <w:rPr>
          <w:b/>
          <w:bCs/>
          <w:color w:val="000000"/>
          <w:u w:val="none"/>
        </w:rPr>
      </w:r>
    </w:p>
    <w:p>
      <w:pPr>
        <w:pStyle w:val="Western"/>
        <w:bidi w:val="0"/>
        <w:spacing w:lineRule="auto" w:line="240" w:before="0" w:after="0"/>
        <w:ind w:left="-720" w:right="-187" w:hanging="0"/>
        <w:jc w:val="both"/>
        <w:rPr>
          <w:color w:val="000000"/>
          <w:u w:val="none"/>
        </w:rPr>
      </w:pPr>
      <w:r>
        <w:rPr>
          <w:bCs/>
          <w:color w:val="000000"/>
          <w:u w:val="none"/>
        </w:rPr>
        <w:t>Направление ПФНИ</w:t>
      </w:r>
      <w:r>
        <w:rPr>
          <w:color w:val="000000"/>
          <w:u w:val="none"/>
        </w:rPr>
        <w:t xml:space="preserve">: 1.3.7.3. </w:t>
      </w:r>
      <w:r>
        <w:rPr>
          <w:bCs/>
          <w:color w:val="000000"/>
          <w:u w:val="none"/>
        </w:rPr>
        <w:t>Работа выполнена в рамках</w:t>
      </w:r>
      <w:r>
        <w:rPr>
          <w:color w:val="000000"/>
          <w:u w:val="none"/>
        </w:rPr>
        <w:t xml:space="preserve"> проекта РНФ 21-72-20020.</w:t>
      </w:r>
    </w:p>
    <w:p>
      <w:pPr>
        <w:pStyle w:val="Western"/>
        <w:bidi w:val="0"/>
        <w:spacing w:lineRule="auto" w:line="240" w:before="0" w:after="0"/>
        <w:ind w:left="-720" w:right="-187" w:hanging="0"/>
        <w:jc w:val="both"/>
        <w:rPr>
          <w:rFonts w:ascii="Times New Roman" w:hAnsi="Times New Roman" w:eastAsia="Times New Roman" w:cs="Times New Roman"/>
          <w:color w:val="000000"/>
          <w:sz w:val="24"/>
          <w:szCs w:val="24"/>
          <w:highlight w:val="white"/>
          <w:u w:val="none"/>
          <w:lang w:val="en-US" w:eastAsia="ru-RU"/>
        </w:rPr>
      </w:pPr>
      <w:r>
        <w:rPr>
          <w:rFonts w:eastAsia="Times New Roman" w:cs="Times New Roman"/>
          <w:color w:val="000000"/>
          <w:sz w:val="24"/>
          <w:szCs w:val="24"/>
          <w:highlight w:val="white"/>
          <w:u w:val="none"/>
          <w:lang w:val="en-US" w:eastAsia="ru-RU"/>
        </w:rPr>
      </w:r>
      <w:r>
        <w:br w:type="page"/>
      </w:r>
    </w:p>
    <w:p>
      <w:pPr>
        <w:pStyle w:val="Normal"/>
        <w:jc w:val="center"/>
        <w:rPr>
          <w:rFonts w:ascii="Times New Roman" w:hAnsi="Times New Roman" w:cs="Times New Roman"/>
          <w:b/>
          <w:b/>
          <w:bCs/>
          <w:sz w:val="28"/>
        </w:rPr>
      </w:pPr>
      <w:r>
        <w:rPr>
          <w:rFonts w:cs="Times New Roman" w:ascii="Times New Roman" w:hAnsi="Times New Roman"/>
          <w:color w:val="000000"/>
          <w:sz w:val="24"/>
          <w:szCs w:val="24"/>
          <w:u w:val="none"/>
          <w:lang w:val="en-US"/>
        </w:rPr>
      </w:r>
    </w:p>
    <w:p>
      <w:pPr>
        <w:pStyle w:val="Normal"/>
        <w:spacing w:lineRule="auto" w:line="240" w:before="0" w:after="0"/>
        <w:ind w:firstLine="567"/>
        <w:jc w:val="center"/>
        <w:rPr>
          <w:rFonts w:ascii="Times New Roman" w:hAnsi="Times New Roman" w:cs="Times New Roman"/>
          <w:b/>
          <w:b/>
          <w:bCs/>
          <w:sz w:val="24"/>
          <w:szCs w:val="24"/>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Helvetica Neue">
    <w:charset w:val="01"/>
    <w:family w:val="roman"/>
    <w:pitch w:val="variable"/>
  </w:font>
  <w:font w:name="Consolas">
    <w:charset w:val="01"/>
    <w:family w:val="roman"/>
    <w:pitch w:val="variable"/>
  </w:font>
  <w:font w:name="Liberation Mono">
    <w:altName w:val="Courier New"/>
    <w:charset w:val="01"/>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0"/>
        <w:szCs w:val="24"/>
        <w:lang w:val="en-US" w:eastAsia="zh-CN" w:bidi="hi-IN"/>
      </w:rPr>
    </w:rPrDefault>
    <w:pPrDefault>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Western">
    <w:name w:val="western"/>
    <w:basedOn w:val="Normal"/>
    <w:qFormat/>
    <w:pPr>
      <w:spacing w:lineRule="auto" w:line="276" w:before="280" w:after="144"/>
    </w:pPr>
    <w:rPr>
      <w:rFonts w:ascii="Times New Roman" w:hAnsi="Times New Roman" w:eastAsia="Times New Roman" w:cs="Times New Roman"/>
      <w:color w:val="000000"/>
      <w:kern w:val="2"/>
      <w:lang w:eastAsia="zh-CN" w:bidi="he-IL"/>
    </w:rPr>
  </w:style>
  <w:style w:type="paragraph" w:styleId="Body">
    <w:name w:val="Body"/>
    <w:qFormat/>
    <w:pPr>
      <w:widowControl/>
      <w:shd w:val="clear" w:color="auto" w:fill="FFFFFF"/>
      <w:suppressAutoHyphens w:val="true"/>
      <w:bidi w:val="0"/>
      <w:spacing w:before="0" w:after="0"/>
      <w:jc w:val="left"/>
    </w:pPr>
    <w:rPr>
      <w:rFonts w:ascii="Helvetica Neue" w:hAnsi="Helvetica Neue" w:eastAsia="Arial Unicode MS" w:cs="Arial Unicode MS"/>
      <w:color w:val="000000"/>
      <w:kern w:val="0"/>
      <w:sz w:val="22"/>
      <w:szCs w:val="22"/>
      <w:lang w:val="ru-RU" w:eastAsia="en-US" w:bidi="ar-SA"/>
    </w:rPr>
  </w:style>
  <w:style w:type="paragraph" w:styleId="BodyA">
    <w:name w:val="Body A"/>
    <w:qFormat/>
    <w:pPr>
      <w:widowControl/>
      <w:suppressAutoHyphens w:val="true"/>
      <w:bidi w:val="0"/>
      <w:spacing w:before="160" w:after="0"/>
      <w:jc w:val="left"/>
    </w:pPr>
    <w:rPr>
      <w:rFonts w:ascii="Helvetica Neue" w:hAnsi="Helvetica Neue" w:eastAsia="Times New Roman" w:cs="Arial Unicode MS"/>
      <w:color w:val="000000"/>
      <w:kern w:val="0"/>
      <w:sz w:val="24"/>
      <w:szCs w:val="24"/>
      <w:u w:val="none" w:color="000000"/>
      <w:lang w:val="ru-RU" w:eastAsia="ru-RU" w:bidi="ar-SA"/>
    </w:rPr>
  </w:style>
  <w:style w:type="paragraph" w:styleId="1">
    <w:name w:val="Текст1"/>
    <w:basedOn w:val="Normal"/>
    <w:qFormat/>
    <w:pPr>
      <w:widowControl/>
    </w:pPr>
    <w:rPr>
      <w:rFonts w:ascii="Consolas" w:hAnsi="Consolas" w:eastAsia="Calibri" w:cs="Calibri"/>
      <w:sz w:val="21"/>
      <w:szCs w:val="21"/>
      <w:lang w:eastAsia="ar-SA" w:bidi="ar-SA"/>
    </w:rPr>
  </w:style>
  <w:style w:type="paragraph" w:styleId="Style14">
    <w:name w:val="Текст в заданном формате"/>
    <w:basedOn w:val="Normal"/>
    <w:qFormat/>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LibreOffice/6.1.5.2$Linux_X86_64 LibreOffice_project/10$Build-2</Application>
  <Pages>3</Pages>
  <Words>694</Words>
  <Characters>4537</Characters>
  <CharactersWithSpaces>5225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2021-12-08T11:39:37Z</dcterms:created>
  <dc:creator/>
  <dc:description/>
  <dc:language>en-US</dc:language>
  <cp:lastModifiedBy/>
  <dcterms:modified xsi:type="dcterms:W3CDTF">2021-12-17T15:04:16Z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