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left"/>
        <w:rPr>
          <w:i/>
          <w:i/>
          <w:iCs/>
        </w:rPr>
      </w:pPr>
      <w:r>
        <w:rPr>
          <w:i/>
          <w:iCs/>
        </w:rPr>
        <w:t>Аннотация взята с личной страницы Нефедьева.</w:t>
      </w:r>
    </w:p>
    <w:tbl>
      <w:tblPr>
        <w:tblW w:w="5000" w:type="pct"/>
        <w:jc w:val="center"/>
        <w:tblInd w:w="0" w:type="dxa"/>
        <w:tblLayout w:type="fixed"/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3190"/>
        <w:gridCol w:w="6448"/>
      </w:tblGrid>
      <w:tr>
        <w:trPr/>
        <w:tc>
          <w:tcPr>
            <w:tcW w:w="3190" w:type="dxa"/>
            <w:tcBorders/>
          </w:tcPr>
          <w:p>
            <w:pPr>
              <w:pStyle w:val="TableContents"/>
              <w:rPr/>
            </w:pPr>
            <w:r>
              <w:rPr/>
              <w:t xml:space="preserve">Загидуллин А.А., Усанин В.С., Петрова Н.К., Нефедьев Ю.А., Андреев А.О., Гудкова Т.В. </w:t>
            </w:r>
            <w:r>
              <w:rPr>
                <w:b/>
                <w:bCs/>
              </w:rPr>
              <w:t>Физическая либрация Луны: расширенная проблема /</w:t>
            </w:r>
            <w:r>
              <w:rPr/>
              <w:t>/ Астрономический журнал. – 2021. – Т. 98, № 1. – С. 75–88.</w:t>
            </w:r>
          </w:p>
        </w:tc>
        <w:tc>
          <w:tcPr>
            <w:tcW w:w="6448" w:type="dxa"/>
            <w:tcBorders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  <w:t>Аннотация</w:t>
            </w:r>
          </w:p>
        </w:tc>
        <w:tc>
          <w:tcPr>
            <w:tcW w:w="6448" w:type="dxa"/>
            <w:tcBorders/>
          </w:tcPr>
          <w:p>
            <w:pPr>
              <w:pStyle w:val="TableContents"/>
              <w:rPr/>
            </w:pPr>
            <w:r>
              <w:rPr/>
              <w:t>Работа посвящена изучению физической либрации Луны. Интерес к традиционной теме, связанной с вращением Луны, вызван активностью многих стран в освоении окололунного пространства. В научном отношении главным на повестке дня является учет вязкости ядра. На данном этапе разработки теории учтены такие эффекты, как косвенные и прямые возмущения от планет, произведено включение гармоники 4-го порядка в гравитационный потенциал Луны, и сделан учет усредненного приливообразующего потенциала. Введение описанных эффектов в уравнения вращения Луны привело к существенному улучшению решения при сравнении с соответствующими данными из теории DE421, хотя остаточные разности по-прежнему остаются больше предъявляемой к теории точности в 1 мс. Влияние прямого эффекта планет составило миллисекунды, влияние 4-й гармоники проявилось в виде систематического сдвига порядка 0.85'' в остаточных разностях в либрации по долготе, а учет прилива позволил уменьшить остаточные разности в широте практически на порядок. При этом основным фактором, уменьшающим остаточные разности, является изменение в коэффициентах Стокса второго порядка. Расчеты проводились с использованием эфемериды DE421, построенной в Лаборатории реактивного движения NASA</w:t>
            </w:r>
          </w:p>
        </w:tc>
      </w:tr>
    </w:tbl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left"/>
        <w:rPr/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 xml:space="preserve">Поляриметрические исследования кометы 29P/Швассмана–Вахмана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>в периоды спокойной и вспышечной активности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849" w:leader="none"/>
        </w:tabs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Кочергин А.В. (ИПА РАН), Зубко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Е. (Humanitas College, South Korea), Чорная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Е.Д.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(ИПА РАН,</w:t>
      </w:r>
      <w:r>
        <w:rPr/>
        <w:t xml:space="preserve"> </w:t>
      </w:r>
      <w:r>
        <w:rPr>
          <w:rFonts w:eastAsia="Times New Roman" w:cs="Times New Roman" w:ascii="Times New Roman" w:hAnsi="Times New Roman"/>
        </w:rPr>
        <w:t>ДВФУ), Желтобрюхов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М.C.(ИПА РАН), Вайдин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 xml:space="preserve">Г. (Space Science Institute, </w:t>
      </w:r>
      <w:r>
        <w:rPr>
          <w:rFonts w:eastAsia="Times New Roman" w:cs="Times New Roman" w:ascii="Times New Roman" w:hAnsi="Times New Roman"/>
          <w:lang w:val="en-US"/>
        </w:rPr>
        <w:t>USA</w:t>
      </w:r>
      <w:r>
        <w:rPr>
          <w:rFonts w:eastAsia="Times New Roman" w:cs="Times New Roman" w:ascii="Times New Roman" w:hAnsi="Times New Roman"/>
        </w:rPr>
        <w:t>; Humanitas College, South Korea), Корниенко</w:t>
      </w:r>
      <w:r>
        <w:rPr>
          <w:rFonts w:eastAsia="Times New Roman" w:cs="Times New Roman" w:ascii="Times New Roman" w:hAnsi="Times New Roman"/>
          <w:lang w:val="en-US"/>
        </w:rPr>
        <w:t> </w:t>
      </w:r>
      <w:r>
        <w:rPr>
          <w:rFonts w:eastAsia="Times New Roman" w:cs="Times New Roman" w:ascii="Times New Roman" w:hAnsi="Times New Roman"/>
        </w:rPr>
        <w:t>Г.И. (ИПА РАН), Сангсу С. К. (Humanitas College, Kyung Hee University, South Korea)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highlight w:val="white"/>
        </w:rPr>
        <w:tab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Комета 29P/Швассмана–Вахмана (рис.1) во многих смыслах уникальный объект Солнечной системы. Данная комета остается активной практически непрерывно с момента открытия в 1927 г., притом, что ее орбита находится целиком за пределами орбиты Юпитера. Комета также известна своей нерегулярной вспышечной активностью ─ около 10 мощных вспышек в год с увеличением блеска на 5 и более звездных величин. Несмотря на большой интерес, существующий в научной литературе к данной комете, её поляриметрические свойства остаются практически не изучены. В 2021 г. нами был проведен мониторинг степени линейной поляризации кометы 29P/Швассмана–Вахмана. В период слабой активности в феврале, комета показала заметную отрицательную поляризацию, –(2.4 ± 0.4)% на фазовом угле α=9.5°, что накладывает сильные ограничения на микрофизические свойства её пыли [1] (рис.2). Интересно, что во время мощной вспышки в конце сентября, отрицательная поляризация оказалась слабее, –(1 ± 0.14) % при α=9.2° [2], что свидетельствует в пользу различного состава комы в периоды спокойной и вспышечной активности. Вспышка кометы вряд ли обусловлена выбросом ледяных частиц, но может оказаться связана с изменением оптических свойств вследствие уменьшения среднего размера пылевых частиц [2]</w:t>
      </w:r>
      <w:r>
        <w:rPr>
          <w:rFonts w:eastAsia="Times New Roman" w:cs="Times New Roman" w:ascii="Times New Roman" w:hAnsi="Times New Roman"/>
          <w:i/>
          <w:color w:val="000000" w:themeColor="text1"/>
          <w:sz w:val="24"/>
          <w:szCs w:val="24"/>
        </w:rPr>
        <w:t>.</w:t>
      </w:r>
    </w:p>
    <w:tbl>
      <w:tblPr>
        <w:tblStyle w:val="ab"/>
        <w:tblW w:w="983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8"/>
        <w:gridCol w:w="5526"/>
      </w:tblGrid>
      <w:tr>
        <w:trPr/>
        <w:tc>
          <w:tcPr>
            <w:tcW w:w="43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257425" cy="2257425"/>
                  <wp:effectExtent l="0" t="0" r="0" b="0"/>
                  <wp:docPr id="1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36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105150" cy="2225675"/>
                  <wp:effectExtent l="0" t="0" r="0" b="0"/>
                  <wp:docPr id="2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22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30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eastAsia="Cambria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Рис 1. Изображение кометы 29Р/Ш-В. Размер изображения 20×20 угл. мин</w:t>
            </w:r>
            <w:r>
              <w:rPr>
                <w:rFonts w:eastAsia="Cambria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55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Рис 2. Степень линейной поляризации 29Р/Ш-В, в сравнении с измерениями других комет.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Исследование солнечной активности, ее проявлений в межпланетном пространстве и геосфере, шифр FFUZ-2019-0001. </w:t>
      </w: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</w:rPr>
        <w:t xml:space="preserve"> ПФНИ 1.3.7.5.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>Публикации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Kochergin, A., Zubko, E., Chornaya, E., Zheltobryukhov, M., Videen, G., Kornienko, G., &amp; Kim, S.S., </w:t>
      </w:r>
      <w:r>
        <w:rPr>
          <w:rFonts w:cs="Times New Roman" w:ascii="Times New Roman" w:hAnsi="Times New Roman"/>
          <w:sz w:val="24"/>
          <w:szCs w:val="24"/>
          <w:lang w:val="en-US"/>
        </w:rPr>
        <w:t>Monitoring the negative polarization in Comet 29P/Schwassmann–Wachmann during quiescence//Icarus, 2021, V. 366, 114536; https://doi.org/10.1016/j.icarus.2021.114536.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>Zubko, E., Kochergin, A., Zheltobryukhov, M., Chornaya, E., Videen, G., &amp; Kornienko, G</w:t>
      </w:r>
      <w:r>
        <w:rPr>
          <w:rFonts w:cs="Times New Roman" w:ascii="Times New Roman" w:hAnsi="Times New Roman"/>
          <w:sz w:val="24"/>
          <w:szCs w:val="24"/>
          <w:lang w:val="en-US"/>
        </w:rPr>
        <w:t>., Negative polarization of Comet 29P/Schwassmann–Wachmann: Difference between quiescent period and strong-outburst activity. Icarus, in preparation.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LibreOffice/7.2.3.2$Linux_X86_64 LibreOffice_project/a49ed84f3d037188bbbcb324f9afc3796d887539</Application>
  <AppVersion>15.0000</AppVersion>
  <Pages>2</Pages>
  <Words>517</Words>
  <Characters>3432</Characters>
  <CharactersWithSpaces>3932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2021-12-17T22:30:56Z</dcterms:created>
  <dc:creator/>
  <dc:description/>
  <dc:language>en-US</dc:language>
  <cp:lastModifiedBy/>
  <dcterms:modified xsi:type="dcterms:W3CDTF">2021-12-18T10:33:52Z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