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6F8B" w:rsidRDefault="00000000">
      <w:pPr>
        <w:jc w:val="center"/>
      </w:pPr>
      <w:r>
        <w:rPr>
          <w:rFonts w:ascii="Times New Roman" w:hAnsi="Times New Roman" w:cs="Times New Roman"/>
          <w:b/>
          <w:bCs/>
          <w:iCs/>
        </w:rPr>
        <w:t xml:space="preserve">Облачная аккреция у звезд до Главной последовательности </w:t>
      </w:r>
    </w:p>
    <w:p w:rsidR="00A76F8B" w:rsidRDefault="00000000">
      <w:pPr>
        <w:jc w:val="center"/>
      </w:pPr>
      <w:r>
        <w:rPr>
          <w:rFonts w:ascii="Times New Roman" w:hAnsi="Times New Roman" w:cs="Times New Roman"/>
          <w:b/>
          <w:bCs/>
          <w:iCs/>
        </w:rPr>
        <w:t>и ее наблюдательные проявления</w:t>
      </w:r>
    </w:p>
    <w:p w:rsidR="00A76F8B" w:rsidRDefault="00000000">
      <w:pPr>
        <w:jc w:val="both"/>
      </w:pPr>
      <w:r>
        <w:rPr>
          <w:rFonts w:ascii="Times New Roman" w:hAnsi="Times New Roman" w:cs="Times New Roman"/>
          <w:iCs/>
        </w:rPr>
        <w:t>Т.В. Демидова (ФБГУН «Крымская астрофизическая обсерватория РАН»)</w:t>
      </w:r>
    </w:p>
    <w:p w:rsidR="00A76F8B" w:rsidRDefault="00000000">
      <w:pPr>
        <w:jc w:val="both"/>
      </w:pPr>
      <w:r>
        <w:rPr>
          <w:rFonts w:ascii="Times New Roman" w:hAnsi="Times New Roman" w:cs="Times New Roman"/>
          <w:iCs/>
        </w:rPr>
        <w:t>телефон: +79213988935</w:t>
      </w:r>
      <w:r w:rsidR="00840F7E">
        <w:rPr>
          <w:rFonts w:ascii="Times New Roman" w:hAnsi="Times New Roman" w:cs="Times New Roman"/>
          <w:iCs/>
        </w:rPr>
        <w:t xml:space="preserve">, </w:t>
      </w:r>
      <w:proofErr w:type="spellStart"/>
      <w:r>
        <w:rPr>
          <w:rFonts w:ascii="Times New Roman" w:hAnsi="Times New Roman" w:cs="Times New Roman"/>
          <w:iCs/>
        </w:rPr>
        <w:t>e-mail</w:t>
      </w:r>
      <w:proofErr w:type="spellEnd"/>
      <w:r>
        <w:rPr>
          <w:rFonts w:ascii="Times New Roman" w:hAnsi="Times New Roman" w:cs="Times New Roman"/>
          <w:iCs/>
        </w:rPr>
        <w:t xml:space="preserve">: </w:t>
      </w:r>
      <w:hyperlink r:id="rId4">
        <w:r>
          <w:rPr>
            <w:rStyle w:val="-"/>
            <w:rFonts w:ascii="Times New Roman" w:hAnsi="Times New Roman" w:cs="Times New Roman"/>
            <w:iCs/>
          </w:rPr>
          <w:t>proxima1@list.ru</w:t>
        </w:r>
      </w:hyperlink>
    </w:p>
    <w:p w:rsidR="00A76F8B" w:rsidRDefault="00000000">
      <w:pPr>
        <w:jc w:val="both"/>
      </w:pPr>
      <w:r>
        <w:rPr>
          <w:rFonts w:ascii="Times New Roman" w:hAnsi="Times New Roman" w:cs="Times New Roman"/>
          <w:iCs/>
        </w:rPr>
        <w:t>В.П. Гринин (ФБГУН «Главная (Пулковская) астрономическая обсерватория РАН», Санкт-Петербургский государственный университет)</w:t>
      </w:r>
    </w:p>
    <w:p w:rsidR="00840F7E" w:rsidRDefault="00840F7E">
      <w:pPr>
        <w:jc w:val="both"/>
        <w:rPr>
          <w:rFonts w:ascii="Times New Roman" w:hAnsi="Times New Roman" w:cs="Times New Roman"/>
          <w:bCs/>
          <w:iCs/>
        </w:rPr>
      </w:pPr>
    </w:p>
    <w:p w:rsidR="00A76F8B" w:rsidRDefault="00000000">
      <w:pPr>
        <w:jc w:val="both"/>
        <w:rPr>
          <w:rFonts w:ascii="Times New Roman" w:hAnsi="Times New Roman" w:cs="Times New Roman"/>
          <w:bCs/>
          <w:iCs/>
        </w:rPr>
      </w:pPr>
      <w:r>
        <w:rPr>
          <w:rFonts w:ascii="Times New Roman" w:hAnsi="Times New Roman" w:cs="Times New Roman"/>
          <w:bCs/>
          <w:iCs/>
        </w:rPr>
        <w:t xml:space="preserve">Впервые были выполнены расчеты распада газового сгустка в протопланетном диске молодой звезды в предположении возникновения сгустка в рамках модели облачной аккреции. Предполагалось, что на протопланетный диск упало газопылевое облако, вещество которого быстро пришло в термодинамическое равновесие с диском. Был рассмотрен широкий диапазон параметров, характеризующих сгусток. Расчеты показали, что начальный скоростной режим сгустка определяет форму долгоживущей асимметрии на изображениях протопланетного диска. При распаде сгустка по диску распространяется возмущение, которое на первых стадиях имеет дугообразную или </w:t>
      </w:r>
      <w:proofErr w:type="spellStart"/>
      <w:r>
        <w:rPr>
          <w:rFonts w:ascii="Times New Roman" w:hAnsi="Times New Roman" w:cs="Times New Roman"/>
          <w:bCs/>
          <w:iCs/>
        </w:rPr>
        <w:t>вихреподобную</w:t>
      </w:r>
      <w:proofErr w:type="spellEnd"/>
      <w:r>
        <w:rPr>
          <w:rFonts w:ascii="Times New Roman" w:hAnsi="Times New Roman" w:cs="Times New Roman"/>
          <w:bCs/>
          <w:iCs/>
        </w:rPr>
        <w:t xml:space="preserve"> форму, которая затем вытягивается вдоль диска по азимуту и сворачивается в </w:t>
      </w:r>
      <w:proofErr w:type="spellStart"/>
      <w:r>
        <w:rPr>
          <w:rFonts w:ascii="Times New Roman" w:hAnsi="Times New Roman" w:cs="Times New Roman"/>
          <w:bCs/>
          <w:iCs/>
        </w:rPr>
        <w:t>тугозакрученную</w:t>
      </w:r>
      <w:proofErr w:type="spellEnd"/>
      <w:r>
        <w:rPr>
          <w:rFonts w:ascii="Times New Roman" w:hAnsi="Times New Roman" w:cs="Times New Roman"/>
          <w:bCs/>
          <w:iCs/>
        </w:rPr>
        <w:t xml:space="preserve"> спираль, а далее для низкоскоростного режима в асимметричное кольцо, для среднескоростного — в кольцеобразную структуру, а в случае высокоскоростного режима развивается в </w:t>
      </w:r>
      <w:proofErr w:type="spellStart"/>
      <w:r>
        <w:rPr>
          <w:rFonts w:ascii="Times New Roman" w:hAnsi="Times New Roman" w:cs="Times New Roman"/>
          <w:bCs/>
          <w:iCs/>
        </w:rPr>
        <w:t>двухрукавную</w:t>
      </w:r>
      <w:proofErr w:type="spellEnd"/>
      <w:r>
        <w:rPr>
          <w:rFonts w:ascii="Times New Roman" w:hAnsi="Times New Roman" w:cs="Times New Roman"/>
          <w:bCs/>
          <w:iCs/>
        </w:rPr>
        <w:t xml:space="preserve"> спираль. Последние структуры являются долгоживущими со временем жизни более 600 лет. Тогда как время жизни </w:t>
      </w:r>
      <w:proofErr w:type="spellStart"/>
      <w:r>
        <w:rPr>
          <w:rFonts w:ascii="Times New Roman" w:hAnsi="Times New Roman" w:cs="Times New Roman"/>
          <w:bCs/>
          <w:iCs/>
        </w:rPr>
        <w:t>вихреподобной</w:t>
      </w:r>
      <w:proofErr w:type="spellEnd"/>
      <w:r>
        <w:rPr>
          <w:rFonts w:ascii="Times New Roman" w:hAnsi="Times New Roman" w:cs="Times New Roman"/>
          <w:bCs/>
          <w:iCs/>
        </w:rPr>
        <w:t xml:space="preserve"> структуры и </w:t>
      </w:r>
      <w:proofErr w:type="spellStart"/>
      <w:r>
        <w:rPr>
          <w:rFonts w:ascii="Times New Roman" w:hAnsi="Times New Roman" w:cs="Times New Roman"/>
          <w:bCs/>
          <w:iCs/>
        </w:rPr>
        <w:t>тугозакрученной</w:t>
      </w:r>
      <w:proofErr w:type="spellEnd"/>
      <w:r>
        <w:rPr>
          <w:rFonts w:ascii="Times New Roman" w:hAnsi="Times New Roman" w:cs="Times New Roman"/>
          <w:bCs/>
          <w:iCs/>
        </w:rPr>
        <w:t xml:space="preserve"> спирали менее 200 лет. На основе газодинамических моделей были получены теоретические изображения диска с возмущением на длине волны 1 мм. Это позволило сравнить результаты моделирования с наблюдениями. Сравнение показало, что все полученные теоретические изображения протопланетных дисков с асимметриями, имеют наблюдаемые аналоги. Таким образом теория облачной аккреции может не только объяснить целый ряд наблюдаемых неоднородностей на изображениях протопланетных дисках в рамках одной модели, но и частоту их обнаружения, которая может быть связана со временем жизни таких структур. </w:t>
      </w:r>
    </w:p>
    <w:p w:rsidR="00840F7E" w:rsidRDefault="00840F7E">
      <w:pPr>
        <w:jc w:val="both"/>
      </w:pPr>
    </w:p>
    <w:p w:rsidR="00A76F8B" w:rsidRDefault="00000000">
      <w:pPr>
        <w:pStyle w:val="a4"/>
        <w:tabs>
          <w:tab w:val="left" w:pos="284"/>
          <w:tab w:val="right" w:leader="underscore" w:pos="8930"/>
        </w:tabs>
        <w:spacing w:after="0" w:line="240" w:lineRule="auto"/>
        <w:jc w:val="center"/>
        <w:rPr>
          <w:rFonts w:ascii="Times New Roman" w:hAnsi="Times New Roman" w:cs="Arial"/>
          <w:color w:val="000000"/>
          <w:sz w:val="20"/>
          <w:szCs w:val="20"/>
        </w:rPr>
      </w:pPr>
      <w:r>
        <w:rPr>
          <w:noProof/>
        </w:rPr>
        <mc:AlternateContent>
          <mc:Choice Requires="wps">
            <w:drawing>
              <wp:inline distT="0" distB="0" distL="0" distR="0">
                <wp:extent cx="4995545" cy="2881630"/>
                <wp:effectExtent l="0" t="0" r="0" b="0"/>
                <wp:docPr id="1" name="Врезка1"/>
                <wp:cNvGraphicFramePr/>
                <a:graphic xmlns:a="http://schemas.openxmlformats.org/drawingml/2006/main">
                  <a:graphicData uri="http://schemas.microsoft.com/office/word/2010/wordprocessingShape">
                    <wps:wsp>
                      <wps:cNvSpPr txBox="1"/>
                      <wps:spPr>
                        <a:xfrm>
                          <a:off x="0" y="0"/>
                          <a:ext cx="4995545" cy="2881630"/>
                        </a:xfrm>
                        <a:prstGeom prst="rect">
                          <a:avLst/>
                        </a:prstGeom>
                        <a:solidFill>
                          <a:srgbClr val="FFFFFF"/>
                        </a:solidFill>
                      </wps:spPr>
                      <wps:txbx>
                        <w:txbxContent>
                          <w:p w:rsidR="00A76F8B" w:rsidRDefault="00000000">
                            <w:pPr>
                              <w:pStyle w:val="a8"/>
                              <w:rPr>
                                <w:rFonts w:ascii="Times New Roman" w:hAnsi="Times New Roman"/>
                              </w:rPr>
                            </w:pPr>
                            <w:r>
                              <w:rPr>
                                <w:rFonts w:ascii="Times New Roman" w:hAnsi="Times New Roman"/>
                                <w:noProof/>
                              </w:rPr>
                              <w:drawing>
                                <wp:inline distT="0" distB="0" distL="0" distR="0">
                                  <wp:extent cx="4994275" cy="1719580"/>
                                  <wp:effectExtent l="0" t="0" r="0" b="0"/>
                                  <wp:docPr id="2"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3"/>
                                          <pic:cNvPicPr>
                                            <a:picLocks noChangeAspect="1" noChangeArrowheads="1"/>
                                          </pic:cNvPicPr>
                                        </pic:nvPicPr>
                                        <pic:blipFill>
                                          <a:blip r:embed="rId5"/>
                                          <a:srcRect l="-2" t="-7" r="-2" b="-7"/>
                                          <a:stretch>
                                            <a:fillRect/>
                                          </a:stretch>
                                        </pic:blipFill>
                                        <pic:spPr bwMode="auto">
                                          <a:xfrm>
                                            <a:off x="0" y="0"/>
                                            <a:ext cx="4994275" cy="1719580"/>
                                          </a:xfrm>
                                          <a:prstGeom prst="rect">
                                            <a:avLst/>
                                          </a:prstGeom>
                                        </pic:spPr>
                                      </pic:pic>
                                    </a:graphicData>
                                  </a:graphic>
                                </wp:inline>
                              </w:drawing>
                            </w:r>
                            <w:r>
                              <w:rPr>
                                <w:rFonts w:ascii="Times New Roman" w:hAnsi="Times New Roman"/>
                                <w:vanish/>
                              </w:rPr>
                              <w:br/>
                            </w:r>
                            <w:r>
                              <w:rPr>
                                <w:rFonts w:ascii="Times New Roman" w:hAnsi="Times New Roman"/>
                              </w:rPr>
                              <w:t xml:space="preserve">Рисунок </w:t>
                            </w:r>
                            <w:r>
                              <w:rPr>
                                <w:rFonts w:ascii="Times New Roman" w:hAnsi="Times New Roman"/>
                              </w:rPr>
                              <w:fldChar w:fldCharType="begin"/>
                            </w:r>
                            <w:r>
                              <w:rPr>
                                <w:rFonts w:ascii="Times New Roman" w:hAnsi="Times New Roman"/>
                              </w:rPr>
                              <w:instrText>SEQ Рисунок \* ARABIC</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Теоретические изображения протопланетного диска на длине волны 1 мм через 600 лет после возникновения сгустка. Слева показан результат для низкоскоростного режима, в центре — для среднескоростного режима, и справа — для высокоскоростного. Цветовая шкала дана в условных единицах, оси координат — в астрономических единицах.</w:t>
                            </w:r>
                          </w:p>
                        </w:txbxContent>
                      </wps:txbx>
                      <wps:bodyPr lIns="635" tIns="635" rIns="635" bIns="635" anchor="t">
                        <a:noAutofit/>
                      </wps:bodyPr>
                    </wps:wsp>
                  </a:graphicData>
                </a:graphic>
              </wp:inline>
            </w:drawing>
          </mc:Choice>
          <mc:Fallback>
            <w:pict>
              <v:shapetype id="_x0000_t202" coordsize="21600,21600" o:spt="202" path="m,l,21600r21600,l21600,xe">
                <v:stroke joinstyle="miter"/>
                <v:path gradientshapeok="t" o:connecttype="rect"/>
              </v:shapetype>
              <v:shape id="Врезка1" o:spid="_x0000_s1026" type="#_x0000_t202" style="width:393.35pt;height:2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" stroked="f">
                <v:textbox inset=".05pt,.05pt,.05pt,.05pt">
                  <w:txbxContent>
                    <w:p w:rsidR="00A76F8B" w:rsidRDefault="00000000">
                      <w:pPr>
                        <w:pStyle w:val="a8"/>
                        <w:rPr>
                          <w:rFonts w:ascii="Times New Roman" w:hAnsi="Times New Roman"/>
                        </w:rPr>
                      </w:pPr>
                      <w:r>
                        <w:rPr>
                          <w:rFonts w:ascii="Times New Roman" w:hAnsi="Times New Roman"/>
                          <w:noProof/>
                        </w:rPr>
                        <w:drawing>
                          <wp:inline distT="0" distB="0" distL="0" distR="0">
                            <wp:extent cx="4994275" cy="1719580"/>
                            <wp:effectExtent l="0" t="0" r="0" b="0"/>
                            <wp:docPr id="2"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3"/>
                                    <pic:cNvPicPr>
                                      <a:picLocks noChangeAspect="1" noChangeArrowheads="1"/>
                                    </pic:cNvPicPr>
                                  </pic:nvPicPr>
                                  <pic:blipFill>
                                    <a:blip r:embed="rId5"/>
                                    <a:srcRect l="-2" t="-7" r="-2" b="-7"/>
                                    <a:stretch>
                                      <a:fillRect/>
                                    </a:stretch>
                                  </pic:blipFill>
                                  <pic:spPr bwMode="auto">
                                    <a:xfrm>
                                      <a:off x="0" y="0"/>
                                      <a:ext cx="4994275" cy="1719580"/>
                                    </a:xfrm>
                                    <a:prstGeom prst="rect">
                                      <a:avLst/>
                                    </a:prstGeom>
                                  </pic:spPr>
                                </pic:pic>
                              </a:graphicData>
                            </a:graphic>
                          </wp:inline>
                        </w:drawing>
                      </w:r>
                      <w:r>
                        <w:rPr>
                          <w:rFonts w:ascii="Times New Roman" w:hAnsi="Times New Roman"/>
                          <w:vanish/>
                        </w:rPr>
                        <w:br/>
                      </w:r>
                      <w:r>
                        <w:rPr>
                          <w:rFonts w:ascii="Times New Roman" w:hAnsi="Times New Roman"/>
                        </w:rPr>
                        <w:t xml:space="preserve">Рисунок </w:t>
                      </w:r>
                      <w:r>
                        <w:rPr>
                          <w:rFonts w:ascii="Times New Roman" w:hAnsi="Times New Roman"/>
                        </w:rPr>
                        <w:fldChar w:fldCharType="begin"/>
                      </w:r>
                      <w:r>
                        <w:rPr>
                          <w:rFonts w:ascii="Times New Roman" w:hAnsi="Times New Roman"/>
                        </w:rPr>
                        <w:instrText>SEQ Рисунок \* ARABIC</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Теоретические изображения протопланетного диска на длине волны 1 мм через 600 лет после возникновения сгустка. Слева показан результат для низкоскоростного режима, в центре — для среднескоростного режима, и справа — для высокоскоростного. Цветовая шкала дана в условных единицах, оси координат — в астрономических единицах.</w:t>
                      </w:r>
                    </w:p>
                  </w:txbxContent>
                </v:textbox>
                <w10:anchorlock/>
              </v:shape>
            </w:pict>
          </mc:Fallback>
        </mc:AlternateContent>
      </w:r>
    </w:p>
    <w:p w:rsidR="00A76F8B" w:rsidRPr="00840F7E" w:rsidRDefault="00000000">
      <w:pPr>
        <w:jc w:val="both"/>
        <w:rPr>
          <w:rFonts w:ascii="Times New Roman" w:hAnsi="Times New Roman"/>
          <w:lang w:val="en-US"/>
        </w:rPr>
      </w:pPr>
      <w:proofErr w:type="spellStart"/>
      <w:r>
        <w:rPr>
          <w:rFonts w:ascii="Times New Roman" w:hAnsi="Times New Roman" w:cs="Times New Roman"/>
          <w:bCs/>
          <w:iCs/>
          <w:color w:val="000000"/>
          <w:lang w:val="en-US"/>
        </w:rPr>
        <w:t>Demidova</w:t>
      </w:r>
      <w:proofErr w:type="spellEnd"/>
      <w:r>
        <w:rPr>
          <w:rFonts w:ascii="Times New Roman" w:hAnsi="Times New Roman" w:cs="Times New Roman"/>
          <w:bCs/>
          <w:iCs/>
          <w:color w:val="000000"/>
          <w:lang w:val="en-US"/>
        </w:rPr>
        <w:t xml:space="preserve">, T.V., </w:t>
      </w:r>
      <w:proofErr w:type="spellStart"/>
      <w:r>
        <w:rPr>
          <w:rFonts w:ascii="Times New Roman" w:hAnsi="Times New Roman" w:cs="Times New Roman"/>
          <w:bCs/>
          <w:iCs/>
          <w:color w:val="000000"/>
          <w:lang w:val="en-US"/>
        </w:rPr>
        <w:t>Grinin</w:t>
      </w:r>
      <w:proofErr w:type="spellEnd"/>
      <w:r>
        <w:rPr>
          <w:rFonts w:ascii="Times New Roman" w:hAnsi="Times New Roman" w:cs="Times New Roman"/>
          <w:bCs/>
          <w:iCs/>
          <w:color w:val="000000"/>
          <w:lang w:val="en-US"/>
        </w:rPr>
        <w:t xml:space="preserve"> V.P./ Clumpy accretion in pre-main-sequence stars as a </w:t>
      </w:r>
      <w:r w:rsidRPr="00840F7E">
        <w:rPr>
          <w:rFonts w:ascii="Times New Roman" w:hAnsi="Times New Roman" w:cs="Times New Roman"/>
          <w:color w:val="000000"/>
          <w:lang w:val="en-US"/>
        </w:rPr>
        <w:t>source of perturbations in circumstellar disks// Astrophysical Journal, 2022, V. 930, P. 111.</w:t>
      </w:r>
    </w:p>
    <w:p w:rsidR="00A76F8B" w:rsidRDefault="00000000">
      <w:pPr>
        <w:pStyle w:val="a4"/>
        <w:tabs>
          <w:tab w:val="left" w:pos="284"/>
          <w:tab w:val="right" w:leader="underscore" w:pos="8930"/>
        </w:tabs>
        <w:spacing w:after="0" w:line="240" w:lineRule="auto"/>
        <w:rPr>
          <w:rFonts w:ascii="Times New Roman" w:hAnsi="Times New Roman"/>
        </w:rPr>
      </w:pPr>
      <w:r>
        <w:rPr>
          <w:rFonts w:ascii="Times New Roman" w:hAnsi="Times New Roman" w:cs="Arial"/>
          <w:color w:val="000000"/>
        </w:rPr>
        <w:t xml:space="preserve">НИР № 0831-2019-0009 «Звезды на ранних стадиях эволюции: физические </w:t>
      </w:r>
      <w:proofErr w:type="spellStart"/>
      <w:r>
        <w:rPr>
          <w:rFonts w:ascii="Times New Roman" w:hAnsi="Times New Roman" w:cs="Arial"/>
          <w:color w:val="000000"/>
        </w:rPr>
        <w:t>характери</w:t>
      </w:r>
      <w:proofErr w:type="spellEnd"/>
      <w:r>
        <w:rPr>
          <w:rFonts w:ascii="Times New Roman" w:hAnsi="Times New Roman" w:cs="Arial"/>
          <w:color w:val="000000"/>
        </w:rPr>
        <w:tab/>
        <w:t>стики, химический состав и поиск экзопланет»</w:t>
      </w:r>
    </w:p>
    <w:p w:rsidR="00A76F8B" w:rsidRDefault="00000000">
      <w:pPr>
        <w:tabs>
          <w:tab w:val="left" w:pos="993"/>
        </w:tabs>
        <w:jc w:val="both"/>
        <w:rPr>
          <w:rFonts w:ascii="Times New Roman" w:hAnsi="Times New Roman"/>
        </w:rPr>
      </w:pPr>
      <w:r>
        <w:rPr>
          <w:rFonts w:ascii="Times New Roman" w:hAnsi="Times New Roman" w:cs="Arial"/>
          <w:color w:val="000000"/>
        </w:rPr>
        <w:t>Грант № 075-15-2020-780 "Теоретические и экспериментальные исследования формирования и эволюции внесолнечных планетных систем и характеристик экзопланет" Министерства науки и высшего образования Российской Федерации;</w:t>
      </w:r>
    </w:p>
    <w:p w:rsidR="00A76F8B" w:rsidRDefault="00000000">
      <w:pPr>
        <w:jc w:val="both"/>
      </w:pPr>
      <w:r>
        <w:rPr>
          <w:rFonts w:ascii="Times New Roman" w:hAnsi="Times New Roman" w:cs="Times New Roman"/>
          <w:color w:val="000000"/>
        </w:rPr>
        <w:t xml:space="preserve">ПФНИ: 1.3.7.3. </w:t>
      </w:r>
    </w:p>
    <w:sectPr w:rsidR="00A76F8B" w:rsidSect="00840F7E">
      <w:pgSz w:w="11906" w:h="16838"/>
      <w:pgMar w:top="1134" w:right="991"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Noto Sans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8B"/>
    <w:rsid w:val="00840F7E"/>
    <w:rsid w:val="00A76F8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0EA3"/>
  <w15:docId w15:val="{0058C77A-BEB4-4E9A-9C01-56E4F065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SC Regular" w:hAnsi="Liberation Serif" w:cs="FreeSans"/>
        <w:kern w:val="2"/>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lang/>
    </w:rPr>
  </w:style>
  <w:style w:type="character" w:customStyle="1" w:styleId="ListLabel1">
    <w:name w:val="ListLabel 1"/>
    <w:qFormat/>
    <w:rPr>
      <w:rFonts w:ascii="Times New Roman" w:hAnsi="Times New Roman" w:cs="Times New Roman"/>
      <w:b w:val="0"/>
      <w:bCs w:val="0"/>
      <w:iCs/>
      <w:sz w:val="24"/>
      <w:szCs w:val="24"/>
    </w:rPr>
  </w:style>
  <w:style w:type="paragraph" w:styleId="a3">
    <w:name w:val="Title"/>
    <w:basedOn w:val="a"/>
    <w:next w:val="a4"/>
    <w:uiPriority w:val="10"/>
    <w:qFormat/>
    <w:pPr>
      <w:keepNext/>
      <w:spacing w:before="240" w:after="120"/>
    </w:pPr>
    <w:rPr>
      <w:rFonts w:ascii="Liberation Sans"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styleId="a8">
    <w:name w:val="table of figures"/>
    <w:basedOn w:val="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proxima1@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Шаховская</dc:creator>
  <dc:description/>
  <cp:lastModifiedBy>Алла Шаховская</cp:lastModifiedBy>
  <cp:revision>2</cp:revision>
  <dcterms:created xsi:type="dcterms:W3CDTF">2022-11-30T17:55:00Z</dcterms:created>
  <dcterms:modified xsi:type="dcterms:W3CDTF">2022-11-30T17:55:00Z</dcterms:modified>
  <dc:language>ru-RU</dc:language>
</cp:coreProperties>
</file>