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120" w:after="0"/>
        <w:jc w:val="center"/>
        <w:rPr>
          <w:rStyle w:val="Markedcontent"/>
          <w:b/>
          <w:b/>
          <w:bCs/>
        </w:rPr>
      </w:pPr>
      <w:r>
        <w:rPr>
          <w:rStyle w:val="Markedcontent"/>
          <w:b/>
          <w:bCs/>
        </w:rPr>
        <w:t>2,5-м телескоп Кавказской горной обсерватории ГАИШ МГУ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Шатский Н.И., Белинский А.А., Потанин С.А., Сафонов Б.С., Татарников А.М., Возякова О.В., Постнов К.А., Черепащук А.М. (ГАИШ МГУ)</w:t>
      </w:r>
    </w:p>
    <w:p>
      <w:pPr>
        <w:pStyle w:val="Normal"/>
        <w:shd w:val="clear" w:color="auto" w:fill="FFFFFF"/>
        <w:spacing w:before="80" w:after="0"/>
        <w:jc w:val="both"/>
        <w:rPr>
          <w:rStyle w:val="Jlqj4b"/>
        </w:rPr>
      </w:pPr>
      <w:r>
        <w:rPr>
          <w:rStyle w:val="Jlqj4b"/>
        </w:rPr>
        <w:tab/>
        <w:t>В конце декабря 2021 года прошла приемка и ввод в эксплуатацию 2,5-м оптического и ИК телескопа Кавказской горной обсерватории. С января по июнь 2022 года на нем проводились наблюдения по научным программам МГУ имени М.В. Ломоносова, а со второй половины года программа дополнилась научными программами, отобранными в рамках конкурса НКРТ (20% времени телескопа выделяется для заявок, поданных по общероссийскому конкурсу). Новый телескоп – третий по размеру главного зеркала в РФ и единственный крупный телескоп, созданный в нашей стране за последние 30 лет (Shatsky et al 2020).</w:t>
      </w:r>
    </w:p>
    <w:p>
      <w:pPr>
        <w:pStyle w:val="Normal"/>
        <w:shd w:val="clear" w:color="auto" w:fill="FFFFFF"/>
        <w:spacing w:before="80" w:after="0"/>
        <w:jc w:val="both"/>
        <w:rPr>
          <w:rStyle w:val="Jlqj4b"/>
        </w:rPr>
      </w:pPr>
      <w:r>
        <w:rPr>
          <w:rStyle w:val="Jlqj4b"/>
        </w:rPr>
        <w:tab/>
        <w:t>2,5-м телескоп оснащен широким спектром новой приемной аппаратуры: ПЗС-фотометром</w:t>
      </w:r>
      <w:r>
        <w:drawing>
          <wp:anchor behindDoc="0" distT="0" distB="0" distL="0" distR="54610" simplePos="0" locked="0" layoutInCell="0" allowOverlap="1" relativeHeight="2">
            <wp:simplePos x="0" y="0"/>
            <wp:positionH relativeFrom="column">
              <wp:posOffset>73025</wp:posOffset>
            </wp:positionH>
            <wp:positionV relativeFrom="paragraph">
              <wp:posOffset>64135</wp:posOffset>
            </wp:positionV>
            <wp:extent cx="3049905" cy="2033270"/>
            <wp:effectExtent l="0" t="0" r="0" b="0"/>
            <wp:wrapSquare wrapText="largest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Jlqj4b"/>
        </w:rPr>
        <w:t xml:space="preserve"> NBI, ИК камерой-спектрографом ASTRONIRCAM для диапазонов YJHK (Nadjip et al 2017), спекл-поляриметром (Safonov et al 2017), который в 2022 году был существенно модернизирован, двухканальным оптическим спектрографом  низкого разрешения TDS (Potanin et al 2020). В процессе разработки два новых прибора: оптический спектрограф высокого разрешения и фотометр на ИК-полосы L и M.</w:t>
      </w:r>
    </w:p>
    <w:p>
      <w:pPr>
        <w:pStyle w:val="Normal"/>
        <w:shd w:val="clear" w:color="auto" w:fill="FFFFFF"/>
        <w:spacing w:before="80" w:after="0"/>
        <w:jc w:val="both"/>
        <w:rPr>
          <w:rStyle w:val="Jlqj4b"/>
        </w:rPr>
      </w:pPr>
      <w:r>
        <w:rPr>
          <w:rStyle w:val="Jlqj4b"/>
        </w:rPr>
        <w:tab/>
        <w:t>С 2015 года на телескопе велись научные наблюдения в тестовом режиме и был получен ряд важных результатов. Опубликовано свыше 100 статей в рецензируемых журналах. Ведется большая программа по исследованию молодых звезд с помощью фотометрии и спекл-поляриметрии.  По результатам долговременной фотометрии и спектроскопии уникального галактического микроквазара SS433 открыто удлинение орбитального периода и наличие эксцентриситета орбиты Cherepashchuk et al 2021), открыт ультрамассивный быстровращающийся белый карлик WD 1832+089 (Pshirkov et al 2020). С 2019 года продолжаются наблюдения в рамках наземной поддержки космической обсерватории Спектр-Рентген-Гамма (Dodin et al 2021, Sazonov et al 2021)  и космического телескопа TESS по поиску экзопланет у ближайших звезд .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  <w:lang w:val="en-US"/>
        </w:rPr>
        <w:t>Shatsky, N. et al, The Caucasian Mountain Observatory of the Sternberg Astronomical Institute: First Six Years of Operation, Ground-Based Astronomy in Russia. 21st Century, Proceedings of the All-Russian Conference held 21-25 September, p. 127-132, 2020</w:t>
      </w:r>
    </w:p>
    <w:p>
      <w:pPr>
        <w:pStyle w:val="ListParagraph"/>
        <w:numPr>
          <w:ilvl w:val="0"/>
          <w:numId w:val="1"/>
        </w:numPr>
        <w:rPr/>
      </w:pPr>
      <w:r>
        <w:rPr>
          <w:sz w:val="20"/>
          <w:szCs w:val="20"/>
          <w:lang w:val="en-US"/>
        </w:rPr>
        <w:t xml:space="preserve">Интернет-страница </w:t>
      </w:r>
      <w:r>
        <w:rPr>
          <w:sz w:val="20"/>
          <w:szCs w:val="20"/>
        </w:rPr>
        <w:t>КГО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ГАИШ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МГУ</w:t>
      </w:r>
      <w:r>
        <w:rPr>
          <w:sz w:val="20"/>
          <w:szCs w:val="20"/>
          <w:lang w:val="en-US"/>
        </w:rPr>
        <w:t xml:space="preserve">: </w:t>
      </w:r>
      <w:hyperlink r:id="rId3">
        <w:r>
          <w:rPr>
            <w:rStyle w:val="InternetLink"/>
            <w:sz w:val="20"/>
            <w:szCs w:val="20"/>
            <w:lang w:val="en-US"/>
          </w:rPr>
          <w:t>https://obs.sai.msu.ru/</w:t>
        </w:r>
      </w:hyperlink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  <w:lang w:val="en-US"/>
        </w:rPr>
        <w:t>Nadjip, A.E. et al, ASTRONIRCAM—the infrared camera-spectrograph for the 2.5-m telescope of SAI Caucasian observatory, Astrophysical Bulletin, Volume 72, Issue 3, pp.349-362, 2017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  <w:lang w:val="en-US"/>
        </w:rPr>
        <w:t>Safonov, B. S. et al, The speckle polarimeter of the 2.5-m telescope: Design and calibration, Astronomy Letters, Volume 43, Issue 5, pp.344-364, 2017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  <w:lang w:val="en-US"/>
        </w:rPr>
        <w:t>Potanin, S. A., Transient Double-Beam Spectrograph for the 2.5-m Telescope of the Caucasus Mountain Observatory of SAI MSU, Astronomy Letters, Volume 46, Issue 12, p.836-854, 2020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  <w:lang w:val="en-US"/>
        </w:rPr>
        <w:t>Cherepashchuk, A. M. et al., Discovery of orbital eccentricity and evidence for orbital period increase of SS433, MNRAS Letters, Volume 507, Issue 1, pp.L19-L23, 2021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  <w:lang w:val="en-US"/>
        </w:rPr>
        <w:t>Pshirkov, M. S., Discovery of a hot ultramassive rapidly rotating DBA white dwarf, MNRAS Letters, Volume 499, Issue 1, pp.L21-L25, 2020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  <w:lang w:val="en-US"/>
        </w:rPr>
        <w:t>Dodin, A. V., Optical Spectroscopy of Quasars Discovered by SRG/eROSITA with a 2.5-m Telescope at the Caucasus Mountain Observatory of SAI MSU, Astronomy Letters, Volume 47, Issue 10, p.661-673, 2021</w:t>
      </w:r>
    </w:p>
    <w:p>
      <w:pPr>
        <w:pStyle w:val="ListParagraph"/>
        <w:numPr>
          <w:ilvl w:val="0"/>
          <w:numId w:val="1"/>
        </w:numPr>
        <w:rPr/>
      </w:pPr>
      <w:r>
        <w:rPr>
          <w:sz w:val="20"/>
          <w:szCs w:val="20"/>
          <w:lang w:val="en-US"/>
        </w:rPr>
        <w:t>Sazonov, S. et al, First tidal disruption events discovered by SRG/eROSITA: X-ray/optical properties and X-ray luminosity function at z &lt; 0.6, MNRAS Volume 508, Issue 3, pp.3820-3847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</w:rPr>
        <w:t xml:space="preserve">Номер научного направления ПФНИ: </w:t>
      </w:r>
      <w:r>
        <w:rPr>
          <w:rStyle w:val="Markedcontent"/>
          <w:rFonts w:cs="Times New Roman"/>
          <w:sz w:val="24"/>
          <w:szCs w:val="24"/>
        </w:rPr>
        <w:t>1.3.7.6. Развитие методов наземной и внеатмосферной астрономии.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/>
      </w:r>
    </w:p>
    <w:p>
      <w:pPr>
        <w:pStyle w:val="ListParagraph"/>
        <w:numPr>
          <w:ilvl w:val="0"/>
          <w:numId w:val="0"/>
        </w:numPr>
        <w:ind w:left="0" w:hanging="0"/>
        <w:rPr/>
      </w:pPr>
      <w:r>
        <w:rPr>
          <w:rStyle w:val="Markedcontent"/>
          <w:rFonts w:cs="Times New Roman"/>
          <w:b w:val="false"/>
          <w:bCs w:val="false"/>
          <w:i/>
          <w:iCs/>
          <w:sz w:val="24"/>
          <w:szCs w:val="24"/>
        </w:rPr>
        <w:t>2,5-м телескоп Кавказской горной обсерватории ГАИШ МГУ: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В конце декабря предыдущего года официально введен в строй 2.5-метровый телескоп Кавказской горной обсерватории ГАИШ МГУ. Инструмент, системы Ричи-Кретьен, расположен в горах Карачаево-Черкессии, в 25 км от города Кисловодска, на высоте 2 км над уровнем моря. Имеет фокус Кассегрена и четыре фокуса Нэсмита. К моменту ввода в строй телескоп был оснащен следующими штатными приборами. Фотометрическая ПЗС-камера в фокусе Кассегрена представляет собой мозаику из двух приемников 2kx4k, оснащена полным набором фильтров оптического диапазона, как широкополосных системы UBVRI и SDSS, так и среднеполосных, центрированных на сильные эмиссионные линии. Инфракрасная камера-спектрограф AstroNIRCam в фокусе Н1 может получать изображения в фотометрических полосах YJHK, а также регистрировать спектры в ближнем инфракрасном диапазоне до 2 мкм с разрешением R=1300. Транзиентный двухлучевой спектрограф низкого разрешения TDS с длинной щелью в фокусе Кассегрена ориентирован на получение оптических спектров в диапазоне 360-740 нм со спектральным разрешением R=1300-2600. Спекл-поляриметр SPP с быстрой камерой EMCCD и вращающимся поляризатором HWP работает по ярким звездам в фокусе Н2. Со второго полугодия 2022 года телескоп доступен для работы широкому кругу астрономов: 20% наблюдательного времени 2.5-метрового телескопа КГО ГАИШ распределяется по заявкам через Национальный комитет по тематике российских телескопов.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В 2022 году по результатам наблюдений 2.5-метрового телескопа были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опубликованы следующие статьи: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1. Belinski, A., Burlak, M., Dodin, A., Emelyanov, N., Ikonnikova, N., Lamzin, S.,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Safonov, B., Tatarnikov, A. “Orbital parameters and activity of ZZ Tau - a low-mass young binary with circumbinary disc”. MNRAS v. 515, no.1, pp.796-806, 2022.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2. Черепащук А.М., Додин А.В., Постнов К.А., Белинский А.А., Бурлак М.А., Иконникова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Н.П., Ирсмамбетова Т.Р., Трушкин С.А. «Оптический мониторинг SS433 в 2017-2021 гг.»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 xml:space="preserve">АЖ т. 99, №6, стр.454-469, 2022 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3. Сафонов Б.С., Додин А.В. «Пространственная структура запыленного ветра RW Aur A» Письма в АЖ т. 48, №6, стр. 445-454, 2022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4. Mereminskiy I.A., Dodin A.V., Lutovinov A.A., et al. “Peculiar X-ray transient SRGA J043520.9+552226/AT2019wey discovered with SRG/ART-XC” A&amp;A v.661, A32, 2022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5. Magakian T.Yu., Tatarnikov A.M., Movsessian T.A., Andreasyan N.R. “Near-infrared detection of H$_{2}$ flows in the core of the Mon R1 association” MNRAS v.510, no.2, pp. 2139-2146, 2022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6. Antokhin I.I., Cherepashchuk A.M., Antokhina E.A., Tatarnikov A.M. “Near-IR and X-Ray Variability of Cyg X-3: Evidence for a Compact IR Source and Complex Wind Structures”Astrophys. J. v.926, no.2, Aid.123, 2022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7. Масленникова Н.А., Татарникова А.А., Татарников А.М., Иконникова Н.П., Додин А.В.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«Симбиотическая природа циркониевой звезды CSS 1102» Письма в АЖ т. 48, №1, стр. 43-51, 2022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>
          <w:rStyle w:val="Markedcontent"/>
          <w:rFonts w:cs="Times New Roman"/>
          <w:sz w:val="24"/>
          <w:szCs w:val="24"/>
        </w:rPr>
        <w:t>8. Safonov, Boris S., Strakhov, Ivan A., Goliguzova, Maria V., Voziakova, Olga V. “Apparent Motion of the Circumstellar Envelope of CQ Tau in Scattered Light” Astron. J. v. 163, no.1, Aid.31, 2022</w:t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/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78105</wp:posOffset>
            </wp:positionH>
            <wp:positionV relativeFrom="paragraph">
              <wp:posOffset>4113530</wp:posOffset>
            </wp:positionV>
            <wp:extent cx="5940425" cy="344932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492500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0"/>
        </w:numPr>
        <w:ind w:left="0" w:hanging="0"/>
        <w:rPr>
          <w:rFonts w:cs="Times New Roman"/>
          <w:sz w:val="24"/>
          <w:szCs w:val="24"/>
        </w:rPr>
      </w:pPr>
      <w:r>
        <w:rPr/>
      </w:r>
    </w:p>
    <w:sectPr>
      <w:footerReference w:type="default" r:id="rId6"/>
      <w:type w:val="nextPage"/>
      <w:pgSz w:w="11906" w:h="16838"/>
      <w:pgMar w:left="1701" w:right="850" w:gutter="0" w:header="0" w:top="1134" w:footer="72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Liberation Mono">
    <w:altName w:val="Courier New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801188002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262b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d262b1"/>
    <w:rPr>
      <w:rFonts w:ascii="Times New Roman" w:hAnsi="Times New Roman" w:eastAsia="Times New Roman" w:cs="Times New Roman"/>
      <w:lang w:eastAsia="ru-RU"/>
    </w:rPr>
  </w:style>
  <w:style w:type="character" w:styleId="SubtleEmphasis">
    <w:name w:val="Subtle Emphasis"/>
    <w:basedOn w:val="DefaultParagraphFont"/>
    <w:uiPriority w:val="19"/>
    <w:qFormat/>
    <w:rsid w:val="00d262b1"/>
    <w:rPr>
      <w:i/>
      <w:iCs/>
      <w:color w:val="404040" w:themeColor="text1" w:themeTint="bf"/>
    </w:rPr>
  </w:style>
  <w:style w:type="character" w:styleId="Markedcontent" w:customStyle="1">
    <w:name w:val="markedcontent"/>
    <w:basedOn w:val="DefaultParagraphFont"/>
    <w:qFormat/>
    <w:rsid w:val="00d262b1"/>
    <w:rPr/>
  </w:style>
  <w:style w:type="character" w:styleId="Jlqj4b" w:customStyle="1">
    <w:name w:val="jlqj4b"/>
    <w:basedOn w:val="DefaultParagraphFont"/>
    <w:qFormat/>
    <w:rsid w:val="00d262b1"/>
    <w:rPr/>
  </w:style>
  <w:style w:type="character" w:styleId="InternetLink">
    <w:name w:val="Hyperlink"/>
    <w:basedOn w:val="DefaultParagraphFont"/>
    <w:uiPriority w:val="99"/>
    <w:unhideWhenUsed/>
    <w:rsid w:val="00d262b1"/>
    <w:rPr>
      <w:color w:val="0000FF"/>
      <w:u w:val="single"/>
    </w:rPr>
  </w:style>
  <w:style w:type="character" w:styleId="Rynqvb" w:customStyle="1">
    <w:name w:val="rynqvb"/>
    <w:basedOn w:val="DefaultParagraphFont"/>
    <w:qFormat/>
    <w:rsid w:val="00d262b1"/>
    <w:rPr/>
  </w:style>
  <w:style w:type="character" w:styleId="UnresolvedMention">
    <w:name w:val="Unresolved Mention"/>
    <w:basedOn w:val="DefaultParagraphFont"/>
    <w:uiPriority w:val="99"/>
    <w:semiHidden/>
    <w:unhideWhenUsed/>
    <w:qFormat/>
    <w:rsid w:val="00921b91"/>
    <w:rPr>
      <w:color w:val="605E5C"/>
      <w:shd w:fill="E1DFDD" w:val="clear"/>
    </w:rPr>
  </w:style>
  <w:style w:type="character" w:styleId="VisitedInternetLink">
    <w:name w:val="FollowedHyperlink"/>
    <w:basedOn w:val="DefaultParagraphFont"/>
    <w:uiPriority w:val="99"/>
    <w:semiHidden/>
    <w:unhideWhenUsed/>
    <w:rsid w:val="003b08f3"/>
    <w:rPr>
      <w:color w:val="954F72" w:themeColor="followedHyperlink"/>
      <w:u w:val="single"/>
    </w:rPr>
  </w:style>
  <w:style w:type="character" w:styleId="Style15" w:customStyle="1">
    <w:name w:val="Интернет-ссылка"/>
    <w:qFormat/>
    <w:rsid w:val="00eb3a89"/>
    <w:rPr>
      <w:color w:val="000080"/>
      <w:u w:val="single"/>
    </w:rPr>
  </w:style>
  <w:style w:type="character" w:styleId="Q4iawc" w:customStyle="1">
    <w:name w:val="q4iawc"/>
    <w:basedOn w:val="DefaultParagraphFont"/>
    <w:qFormat/>
    <w:rsid w:val="00eb3a89"/>
    <w:rPr>
      <w:rFonts w:ascii="Times New Roman" w:hAnsi="Times New Roman" w:cs="Times New Roma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NormalWeb">
    <w:name w:val="Normal (Web)"/>
    <w:basedOn w:val="Normal"/>
    <w:uiPriority w:val="99"/>
    <w:unhideWhenUsed/>
    <w:qFormat/>
    <w:rsid w:val="00d262b1"/>
    <w:pPr>
      <w:spacing w:beforeAutospacing="1" w:afterAutospacing="1"/>
    </w:pPr>
    <w:rPr/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link w:val="Style14"/>
    <w:uiPriority w:val="99"/>
    <w:unhideWhenUsed/>
    <w:rsid w:val="00d262b1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aption1">
    <w:name w:val="caption"/>
    <w:basedOn w:val="Normal"/>
    <w:next w:val="Normal"/>
    <w:uiPriority w:val="35"/>
    <w:unhideWhenUsed/>
    <w:qFormat/>
    <w:rsid w:val="00d262b1"/>
    <w:pPr>
      <w:spacing w:before="0" w:after="200"/>
    </w:pPr>
    <w:rPr>
      <w:rFonts w:ascii="Calibri" w:hAnsi="Calibri" w:eastAsia="Calibri" w:cs="" w:asciiTheme="minorHAnsi" w:cstheme="minorBidi" w:eastAsiaTheme="minorHAnsi" w:hAnsiTheme="minorHAnsi"/>
      <w:b/>
      <w:bCs/>
      <w:color w:val="4472C4" w:themeColor="accent1"/>
      <w:sz w:val="18"/>
      <w:szCs w:val="18"/>
      <w:lang w:eastAsia="en-US"/>
    </w:rPr>
  </w:style>
  <w:style w:type="paragraph" w:styleId="Style16" w:customStyle="1">
    <w:name w:val="Текст в заданном формате"/>
    <w:basedOn w:val="Normal"/>
    <w:qFormat/>
    <w:rsid w:val="00eb3a89"/>
    <w:pPr>
      <w:widowControl w:val="false"/>
    </w:pPr>
    <w:rPr>
      <w:rFonts w:ascii="Liberation Mono" w:hAnsi="Liberation Mono" w:eastAsia="Liberation Mono" w:cs="Liberation Mono"/>
      <w:sz w:val="20"/>
      <w:szCs w:val="20"/>
      <w:lang w:eastAsia="zh-CN" w:bidi="hi-IN"/>
    </w:rPr>
  </w:style>
  <w:style w:type="paragraph" w:styleId="FrameContents" w:customStyle="1">
    <w:name w:val="Frame Contents"/>
    <w:basedOn w:val="Normal"/>
    <w:qFormat/>
    <w:rsid w:val="00eb3a89"/>
    <w:pPr>
      <w:widowControl w:val="false"/>
      <w:suppressAutoHyphens w:val="true"/>
    </w:pPr>
    <w:rPr>
      <w:rFonts w:ascii="Liberation Serif" w:hAnsi="Liberation Serif" w:eastAsia="Source Han Sans CN Normal" w:cs="DejaVu Sans"/>
      <w:color w:val="00000A"/>
      <w:lang w:eastAsia="zh-CN" w:bidi="hi-IN"/>
    </w:rPr>
  </w:style>
  <w:style w:type="paragraph" w:styleId="ListParagraph">
    <w:name w:val="List Paragraph"/>
    <w:basedOn w:val="Normal"/>
    <w:uiPriority w:val="34"/>
    <w:qFormat/>
    <w:rsid w:val="00b02aff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unhideWhenUsed/>
    <w:rsid w:val="00d262b1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bs.sai.msu.ru/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Application>LibreOffice/7.3.7.2$Linux_X86_64 LibreOffice_project/30$Build-2</Application>
  <AppVersion>15.0000</AppVersion>
  <Pages>3</Pages>
  <Words>935</Words>
  <Characters>5775</Characters>
  <CharactersWithSpaces>6676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2022-12-12T15:30:00Z</dcterms:created>
  <dc:creator>Oleg Korablev</dc:creator>
  <dc:description/>
  <dc:language>en-US</dc:language>
  <cp:lastModifiedBy/>
  <dcterms:modified xsi:type="dcterms:W3CDTF">2022-12-19T16:37:04Z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