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59"/>
        <w:jc w:val="center"/>
        <w:rPr>
          <w:rFonts w:ascii="Calibri" w:hAnsi="Calibri" w:eastAsia="Calibri" w:cs="Calibri"/>
          <w:lang w:val="ru-RU"/>
        </w:rPr>
      </w:pPr>
      <w:r>
        <w:rPr>
          <w:rStyle w:val="Style15"/>
          <w:b/>
          <w:bCs/>
          <w:lang w:val="ru-RU"/>
        </w:rPr>
        <w:t xml:space="preserve">Определение радиуса, массы, эволюционного статуса и параметров орбиты спектрально-двойной цефеиды </w:t>
      </w:r>
      <w:r>
        <w:rPr>
          <w:rStyle w:val="Style15"/>
          <w:b/>
          <w:bCs/>
        </w:rPr>
        <w:t>V</w:t>
      </w:r>
      <w:r>
        <w:rPr>
          <w:rStyle w:val="Style15"/>
          <w:b/>
          <w:bCs/>
          <w:lang w:val="ru-RU"/>
        </w:rPr>
        <w:t>350 </w:t>
      </w:r>
      <w:r>
        <w:rPr>
          <w:rStyle w:val="Style15"/>
          <w:b/>
          <w:bCs/>
        </w:rPr>
        <w:t>Sgr</w:t>
      </w:r>
    </w:p>
    <w:p>
      <w:pPr>
        <w:pStyle w:val="Normal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59"/>
        <w:jc w:val="center"/>
        <w:rPr>
          <w:rFonts w:ascii="Calibri" w:hAnsi="Calibri" w:eastAsia="Calibri" w:cs="Calibri"/>
          <w:lang w:val="ru-RU"/>
        </w:rPr>
      </w:pPr>
      <w:r>
        <w:rPr>
          <w:rStyle w:val="Style15"/>
          <w:lang w:val="ru-RU"/>
        </w:rPr>
        <w:t xml:space="preserve">А.С. Расторгуев </w:t>
      </w:r>
      <w:r>
        <w:rPr>
          <w:rStyle w:val="Style15"/>
          <w:vertAlign w:val="superscript"/>
          <w:lang w:val="ru-RU"/>
        </w:rPr>
        <w:t>1,2</w:t>
      </w:r>
      <w:r>
        <w:rPr>
          <w:rStyle w:val="Style15"/>
          <w:lang w:val="ru-RU"/>
        </w:rPr>
        <w:t xml:space="preserve">, М.В. Заболотских </w:t>
      </w:r>
      <w:r>
        <w:rPr>
          <w:rStyle w:val="Style15"/>
          <w:vertAlign w:val="superscript"/>
          <w:lang w:val="ru-RU"/>
        </w:rPr>
        <w:t>2</w:t>
      </w:r>
      <w:r>
        <w:rPr>
          <w:rStyle w:val="Style15"/>
          <w:lang w:val="ru-RU"/>
        </w:rPr>
        <w:t xml:space="preserve">, Н.А. Горыня </w:t>
      </w:r>
      <w:r>
        <w:rPr>
          <w:rStyle w:val="Style15"/>
          <w:vertAlign w:val="superscript"/>
          <w:lang w:val="ru-RU"/>
        </w:rPr>
        <w:t>1,3</w:t>
      </w:r>
    </w:p>
    <w:p>
      <w:pPr>
        <w:pStyle w:val="Normal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59"/>
        <w:rPr>
          <w:rFonts w:ascii="Calibri" w:hAnsi="Calibri" w:eastAsia="Calibri" w:cs="Calibri"/>
          <w:lang w:val="ru-RU"/>
        </w:rPr>
      </w:pPr>
      <w:r>
        <w:rPr>
          <w:rStyle w:val="Style15"/>
          <w:b/>
          <w:bCs/>
          <w:vertAlign w:val="superscript"/>
          <w:lang w:val="ru-RU"/>
        </w:rPr>
        <w:t>1</w:t>
      </w:r>
      <w:r>
        <w:rPr>
          <w:rStyle w:val="Style15"/>
          <w:b/>
          <w:bCs/>
          <w:lang w:val="ru-RU"/>
        </w:rPr>
        <w:t xml:space="preserve"> </w:t>
      </w:r>
      <w:r>
        <w:rPr>
          <w:rStyle w:val="Style15"/>
          <w:lang w:val="ru-RU"/>
        </w:rPr>
        <w:t xml:space="preserve">Физический факультет МГУ имени М.В. Ломоносова </w:t>
      </w:r>
      <w:r>
        <w:rPr>
          <w:rStyle w:val="Style15"/>
          <w:b/>
          <w:bCs/>
          <w:vertAlign w:val="superscript"/>
          <w:lang w:val="ru-RU"/>
        </w:rPr>
        <w:t>2</w:t>
      </w:r>
      <w:r>
        <w:rPr>
          <w:rStyle w:val="Style15"/>
          <w:b/>
          <w:bCs/>
          <w:lang w:val="ru-RU"/>
        </w:rPr>
        <w:t xml:space="preserve"> </w:t>
      </w:r>
      <w:r>
        <w:rPr>
          <w:rStyle w:val="Style15"/>
          <w:lang w:val="ru-RU"/>
        </w:rPr>
        <w:t xml:space="preserve">Государственный астрономический институт имени П.К. Штернберга МГУ имени М.В. Ломоносова, </w:t>
      </w:r>
      <w:r>
        <w:rPr>
          <w:rStyle w:val="Style15"/>
          <w:b/>
          <w:bCs/>
          <w:vertAlign w:val="superscript"/>
          <w:lang w:val="ru-RU"/>
        </w:rPr>
        <w:t>3</w:t>
      </w:r>
      <w:r>
        <w:rPr>
          <w:rStyle w:val="Style15"/>
          <w:b/>
          <w:bCs/>
          <w:lang w:val="ru-RU"/>
        </w:rPr>
        <w:t xml:space="preserve"> </w:t>
      </w:r>
      <w:r>
        <w:rPr>
          <w:rStyle w:val="Style15"/>
          <w:lang w:val="ru-RU"/>
        </w:rPr>
        <w:t>Институт астрономии РАН</w:t>
      </w:r>
    </w:p>
    <w:p>
      <w:pPr>
        <w:pStyle w:val="Normal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59"/>
        <w:ind w:firstLine="708"/>
        <w:rPr>
          <w:rStyle w:val="Style15"/>
          <w:rFonts w:eastAsia="Times New Roman" w:cs="Times New Roman"/>
          <w:lang w:val="ru-RU"/>
        </w:rPr>
      </w:pPr>
      <w:r>
        <w:rPr>
          <w:rStyle w:val="Style15"/>
        </w:rPr>
        <w:t>V</w:t>
      </w:r>
      <w:r>
        <w:rPr>
          <w:rStyle w:val="Style15"/>
          <w:lang w:val="ru-RU"/>
        </w:rPr>
        <w:t>350</w:t>
      </w:r>
      <w:r>
        <w:rPr>
          <w:rStyle w:val="Style15"/>
        </w:rPr>
        <w:t> Sgr</w:t>
      </w:r>
      <w:r>
        <w:rPr>
          <w:rStyle w:val="Style15"/>
          <w:lang w:val="ru-RU"/>
        </w:rPr>
        <w:t xml:space="preserve"> – уникальная двойная цефеида, спутник которой по спектральным наблюдениям </w:t>
      </w:r>
      <w:r>
        <w:rPr>
          <w:rStyle w:val="Style15"/>
        </w:rPr>
        <w:t>HST</w:t>
      </w:r>
      <w:r>
        <w:rPr>
          <w:rStyle w:val="Style15"/>
          <w:lang w:val="ru-RU"/>
        </w:rPr>
        <w:t xml:space="preserve"> был классифицирован как звезда </w:t>
      </w:r>
      <w:r>
        <w:rPr>
          <w:rStyle w:val="Style15"/>
          <w:iCs/>
        </w:rPr>
        <w:t>B</w:t>
      </w:r>
      <w:r>
        <w:rPr>
          <w:rStyle w:val="Style15"/>
          <w:iCs/>
          <w:lang w:val="ru-RU"/>
        </w:rPr>
        <w:t>8</w:t>
      </w:r>
      <w:r>
        <w:rPr>
          <w:rStyle w:val="Style15"/>
          <w:iCs/>
        </w:rPr>
        <w:t>V</w:t>
      </w:r>
      <w:r>
        <w:rPr>
          <w:rStyle w:val="Style15"/>
          <w:iCs/>
          <w:lang w:val="ru-RU"/>
        </w:rPr>
        <w:t>–</w:t>
      </w:r>
      <w:r>
        <w:rPr>
          <w:rStyle w:val="Style15"/>
          <w:iCs/>
        </w:rPr>
        <w:t>B</w:t>
      </w:r>
      <w:r>
        <w:rPr>
          <w:rStyle w:val="Style15"/>
          <w:iCs/>
          <w:lang w:val="ru-RU"/>
        </w:rPr>
        <w:t>9</w:t>
      </w:r>
      <w:r>
        <w:rPr>
          <w:rStyle w:val="Style15"/>
          <w:iCs/>
        </w:rPr>
        <w:t>V</w:t>
      </w:r>
      <w:r>
        <w:rPr>
          <w:rStyle w:val="Style15"/>
          <w:lang w:val="ru-RU"/>
        </w:rPr>
        <w:t xml:space="preserve">. Эта цефеида – одна из немногих представителей своего класса, допускающая прямую динамическую оценку её массы. По результатам раздельных измерений лучевой скорости спутника, проведённых на </w:t>
      </w:r>
      <w:r>
        <w:rPr>
          <w:rStyle w:val="Style15"/>
        </w:rPr>
        <w:t>HST</w:t>
      </w:r>
      <w:r>
        <w:rPr>
          <w:rStyle w:val="Style15"/>
          <w:lang w:val="ru-RU"/>
        </w:rPr>
        <w:t xml:space="preserve"> в 2013 и 2016 г. в моменты максимального различия лучевых скоростей цефеиды и спутника, масса цефеиды была ранее оценена в </w:t>
      </w:r>
      <w:r>
        <w:rPr>
          <w:rStyle w:val="Style15"/>
          <w:iCs/>
          <w:lang w:val="ru-RU"/>
        </w:rPr>
        <w:t>(5.2 ± 0.3)</w:t>
      </w:r>
      <w:r>
        <w:rPr>
          <w:rStyle w:val="Style15"/>
          <w:i/>
          <w:iCs/>
          <w:lang w:val="ru-RU"/>
        </w:rPr>
        <w:t> </w:t>
      </w:r>
      <w:r>
        <w:rPr>
          <w:rStyle w:val="Style15"/>
          <w:i/>
          <w:iCs/>
        </w:rPr>
        <w:t>M</w:t>
      </w:r>
      <w:r>
        <w:rPr>
          <w:rStyle w:val="Style15"/>
          <w:rFonts w:eastAsia="Cambria Math" w:cs="Cambria Math" w:ascii="Cambria Math" w:hAnsi="Cambria Math"/>
          <w:iCs/>
          <w:vertAlign w:val="subscript"/>
          <w:lang w:val="ru-RU"/>
        </w:rPr>
        <w:t>⊙</w:t>
      </w:r>
      <w:r>
        <w:rPr>
          <w:rStyle w:val="Style15"/>
          <w:lang w:val="ru-RU"/>
        </w:rPr>
        <w:t xml:space="preserve"> [1] впервые с высокой точностью.</w:t>
      </w:r>
    </w:p>
    <w:p>
      <w:pPr>
        <w:pStyle w:val="Normal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ind w:firstLine="708"/>
        <w:rPr>
          <w:rStyle w:val="Style15"/>
          <w:rFonts w:eastAsia="Times New Roman" w:cs="Times New Roman"/>
          <w:lang w:val="ru-RU"/>
        </w:rPr>
      </w:pPr>
      <w:r>
        <w:rPr>
          <w:rStyle w:val="Style15"/>
          <w:rFonts w:eastAsia="Times New Roman" w:cs="Times New Roman"/>
          <w:lang w:val="ru-RU"/>
        </w:rPr>
        <w:t xml:space="preserve">С целью дальнейшего уточнения массы цефеиды и прояснения её эволюционного статуса рассчитаны изменения пульсационного радиуса цефеиды с использованием оригинального “температурного” варианта метода пульсирующих фотосфер </w:t>
      </w:r>
      <w:r>
        <w:rPr>
          <w:rStyle w:val="Style15"/>
          <w:lang w:val="ru-RU"/>
        </w:rPr>
        <w:t xml:space="preserve">[2], позволяющего определить избыток цвета и смоделировать изменение светимости цефеиды. Использованы многочисленные измерения лучевых скоростей </w:t>
      </w:r>
      <w:r>
        <w:rPr>
          <w:rStyle w:val="Style15"/>
        </w:rPr>
        <w:t>V</w:t>
      </w:r>
      <w:r>
        <w:rPr>
          <w:rStyle w:val="Style15"/>
          <w:lang w:val="ru-RU"/>
        </w:rPr>
        <w:t>350</w:t>
      </w:r>
      <w:r>
        <w:rPr>
          <w:rStyle w:val="Style15"/>
        </w:rPr>
        <w:t> Sgr</w:t>
      </w:r>
      <w:r>
        <w:rPr>
          <w:rStyle w:val="Style15"/>
          <w:lang w:val="ru-RU"/>
        </w:rPr>
        <w:t xml:space="preserve">, выполненные в рамках программы изучения цефеид северного неба, проводившейся совместно ГАИШ МГУ и ИНАСАН в 1987–2023 г. Впервые выведены согласованные оценки средних по циклу пульсаций значений радиуса </w:t>
      </w:r>
      <w:r>
        <w:rPr>
          <w:rStyle w:val="Style15"/>
          <w:i/>
          <w:iCs/>
          <w:lang w:val="ru-RU"/>
        </w:rPr>
        <w:t>&lt;R&gt;/R</w:t>
      </w:r>
      <w:r>
        <w:rPr>
          <w:rStyle w:val="Style15"/>
          <w:rFonts w:eastAsia="Cambria Math" w:cs="Cambria Math" w:ascii="Cambria Math" w:hAnsi="Cambria Math"/>
          <w:iCs/>
          <w:vertAlign w:val="subscript"/>
          <w:lang w:val="ru-RU"/>
        </w:rPr>
        <w:t>⊙</w:t>
      </w:r>
      <w:r>
        <w:rPr>
          <w:rStyle w:val="Style15"/>
          <w:i/>
          <w:iCs/>
          <w:lang w:val="ru-RU"/>
        </w:rPr>
        <w:t xml:space="preserve"> ≈ </w:t>
      </w:r>
      <w:r>
        <w:rPr>
          <w:rStyle w:val="Style15"/>
          <w:iCs/>
          <w:lang w:val="ru-RU"/>
        </w:rPr>
        <w:t>41.3–41.9</w:t>
      </w:r>
      <w:r>
        <w:rPr>
          <w:rStyle w:val="Style15"/>
          <w:lang w:val="ru-RU"/>
        </w:rPr>
        <w:t xml:space="preserve">, абсолютной величины </w:t>
      </w:r>
      <w:r>
        <w:rPr>
          <w:rStyle w:val="Style15"/>
          <w:i/>
          <w:iCs/>
          <w:lang w:val="ru-RU"/>
        </w:rPr>
        <w:t>M</w:t>
      </w:r>
      <w:r>
        <w:rPr>
          <w:rStyle w:val="Style15"/>
          <w:i/>
          <w:iCs/>
          <w:vertAlign w:val="subscript"/>
          <w:lang w:val="ru-RU"/>
        </w:rPr>
        <w:t>V</w:t>
      </w:r>
      <w:r>
        <w:rPr>
          <w:rStyle w:val="Style15"/>
          <w:i/>
          <w:iCs/>
          <w:lang w:val="ru-RU"/>
        </w:rPr>
        <w:t xml:space="preserve"> ≈ −</w:t>
      </w:r>
      <w:r>
        <w:rPr>
          <w:rStyle w:val="Style15"/>
          <w:iCs/>
          <w:lang w:val="ru-RU"/>
        </w:rPr>
        <w:t>3.52…–</w:t>
      </w:r>
      <w:r>
        <w:rPr>
          <w:rStyle w:val="Style15"/>
          <w:iCs/>
        </w:rPr>
        <w:t> </w:t>
      </w:r>
      <w:r>
        <w:rPr>
          <w:rStyle w:val="Style15"/>
          <w:iCs/>
          <w:lang w:val="ru-RU"/>
        </w:rPr>
        <w:t>3.57</w:t>
      </w:r>
      <w:r>
        <w:rPr>
          <w:rStyle w:val="Style15"/>
          <w:i/>
          <w:iCs/>
        </w:rPr>
        <w:t> </w:t>
      </w:r>
      <w:r>
        <w:rPr>
          <w:rStyle w:val="Style15"/>
          <w:iCs/>
        </w:rPr>
        <w:t>mag</w:t>
      </w:r>
      <w:r>
        <w:rPr>
          <w:rStyle w:val="Style15"/>
          <w:lang w:val="ru-RU"/>
        </w:rPr>
        <w:t xml:space="preserve">, нормального цвета </w:t>
      </w:r>
      <w:r>
        <w:rPr>
          <w:rStyle w:val="Style15"/>
          <w:i/>
          <w:iCs/>
          <w:lang w:val="ru-RU"/>
        </w:rPr>
        <w:t>(</w:t>
      </w:r>
      <w:r>
        <w:rPr>
          <w:rStyle w:val="Style15"/>
          <w:i/>
          <w:iCs/>
        </w:rPr>
        <w:t>B</w:t>
      </w:r>
      <w:r>
        <w:rPr>
          <w:rStyle w:val="Style15"/>
          <w:i/>
          <w:iCs/>
          <w:lang w:val="ru-RU"/>
        </w:rPr>
        <w:t>−</w:t>
      </w:r>
      <w:r>
        <w:rPr>
          <w:rStyle w:val="Style15"/>
          <w:i/>
          <w:iCs/>
        </w:rPr>
        <w:t>V</w:t>
      </w:r>
      <w:r>
        <w:rPr>
          <w:rStyle w:val="Style15"/>
          <w:i/>
          <w:iCs/>
          <w:lang w:val="ru-RU"/>
        </w:rPr>
        <w:t>)</w:t>
      </w:r>
      <w:r>
        <w:rPr>
          <w:rStyle w:val="Style15"/>
          <w:i/>
          <w:iCs/>
          <w:vertAlign w:val="subscript"/>
          <w:lang w:val="ru-RU"/>
        </w:rPr>
        <w:t>0</w:t>
      </w:r>
      <w:r>
        <w:rPr>
          <w:rStyle w:val="Style15"/>
          <w:i/>
          <w:iCs/>
          <w:lang w:val="ru-RU"/>
        </w:rPr>
        <w:t xml:space="preserve"> ≈ </w:t>
      </w:r>
      <w:r>
        <w:rPr>
          <w:rStyle w:val="Style15"/>
          <w:iCs/>
          <w:lang w:val="ru-RU"/>
        </w:rPr>
        <w:t>(0.56 ± 0.01)</w:t>
      </w:r>
      <w:r>
        <w:rPr>
          <w:rStyle w:val="Style15"/>
          <w:iCs/>
        </w:rPr>
        <w:t> mag</w:t>
      </w:r>
      <w:r>
        <w:rPr>
          <w:rStyle w:val="Style15"/>
          <w:lang w:val="ru-RU"/>
        </w:rPr>
        <w:t xml:space="preserve">, эффективной температуры </w:t>
      </w:r>
      <w:r>
        <w:rPr>
          <w:rStyle w:val="Style15"/>
          <w:i/>
          <w:iCs/>
          <w:lang w:val="ru-RU"/>
        </w:rPr>
        <w:t>&lt;</w:t>
      </w:r>
      <w:r>
        <w:rPr>
          <w:rStyle w:val="Style15"/>
          <w:iCs/>
        </w:rPr>
        <w:t>lg</w:t>
      </w:r>
      <w:r>
        <w:rPr>
          <w:rStyle w:val="Style15"/>
          <w:i/>
          <w:iCs/>
          <w:lang w:val="ru-RU"/>
        </w:rPr>
        <w:t xml:space="preserve"> </w:t>
      </w:r>
      <w:r>
        <w:rPr>
          <w:rStyle w:val="Style15"/>
          <w:i/>
          <w:iCs/>
        </w:rPr>
        <w:t>T</w:t>
      </w:r>
      <w:r>
        <w:rPr>
          <w:rStyle w:val="Style15"/>
          <w:i/>
          <w:iCs/>
          <w:vertAlign w:val="subscript"/>
        </w:rPr>
        <w:t>eff</w:t>
      </w:r>
      <w:r>
        <w:rPr>
          <w:rStyle w:val="Style15"/>
          <w:i/>
          <w:iCs/>
          <w:lang w:val="ru-RU"/>
        </w:rPr>
        <w:t xml:space="preserve">&gt; ≈ </w:t>
      </w:r>
      <w:r>
        <w:rPr>
          <w:rStyle w:val="Style15"/>
          <w:iCs/>
          <w:lang w:val="ru-RU"/>
        </w:rPr>
        <w:t>(3.788 ± 0.002)</w:t>
      </w:r>
      <w:r>
        <w:rPr>
          <w:rStyle w:val="Style15"/>
          <w:lang w:val="ru-RU"/>
        </w:rPr>
        <w:t xml:space="preserve">, а также расстояния </w:t>
      </w:r>
      <w:r>
        <w:rPr>
          <w:rStyle w:val="Style15"/>
          <w:i/>
          <w:iCs/>
        </w:rPr>
        <w:t>D</w:t>
      </w:r>
      <w:r>
        <w:rPr>
          <w:rStyle w:val="Style15"/>
          <w:i/>
          <w:iCs/>
          <w:lang w:val="ru-RU"/>
        </w:rPr>
        <w:t xml:space="preserve"> ≈ </w:t>
      </w:r>
      <w:r>
        <w:rPr>
          <w:rStyle w:val="Style15"/>
          <w:iCs/>
          <w:lang w:val="ru-RU"/>
        </w:rPr>
        <w:t>(992 ± 14)  пк</w:t>
      </w:r>
      <w:r>
        <w:rPr>
          <w:rStyle w:val="Style15"/>
          <w:lang w:val="ru-RU"/>
        </w:rPr>
        <w:t xml:space="preserve"> и избытка цвета </w:t>
      </w:r>
      <w:r>
        <w:rPr>
          <w:rStyle w:val="Style15"/>
          <w:i/>
          <w:iCs/>
        </w:rPr>
        <w:t>E</w:t>
      </w:r>
      <w:r>
        <w:rPr>
          <w:rStyle w:val="Style15"/>
          <w:i/>
          <w:iCs/>
          <w:lang w:val="ru-RU"/>
        </w:rPr>
        <w:t>(</w:t>
      </w:r>
      <w:r>
        <w:rPr>
          <w:rStyle w:val="Style15"/>
          <w:i/>
          <w:iCs/>
        </w:rPr>
        <w:t>B</w:t>
      </w:r>
      <w:r>
        <w:rPr>
          <w:rStyle w:val="Style15"/>
          <w:i/>
          <w:iCs/>
          <w:lang w:val="ru-RU"/>
        </w:rPr>
        <w:t>−</w:t>
      </w:r>
      <w:r>
        <w:rPr>
          <w:rStyle w:val="Style15"/>
          <w:i/>
          <w:iCs/>
        </w:rPr>
        <w:t>V</w:t>
      </w:r>
      <w:r>
        <w:rPr>
          <w:rStyle w:val="Style15"/>
          <w:i/>
          <w:iCs/>
          <w:lang w:val="ru-RU"/>
        </w:rPr>
        <w:t xml:space="preserve"> ) ≈ </w:t>
      </w:r>
      <w:r>
        <w:rPr>
          <w:rStyle w:val="Style15"/>
          <w:iCs/>
          <w:lang w:val="ru-RU"/>
        </w:rPr>
        <w:t>(0.35 ± 0.01)</w:t>
      </w:r>
      <w:r>
        <w:rPr>
          <w:rStyle w:val="Style15"/>
          <w:iCs/>
        </w:rPr>
        <w:t> mag</w:t>
      </w:r>
      <w:r>
        <w:rPr>
          <w:rStyle w:val="Style15"/>
          <w:lang w:val="ru-RU"/>
        </w:rPr>
        <w:t xml:space="preserve">. Эти значения параметров хорошо согласуются с эволюционными треками </w:t>
      </w:r>
      <w:r>
        <w:rPr>
          <w:rStyle w:val="Style15"/>
        </w:rPr>
        <w:t>MESA</w:t>
      </w:r>
      <w:r>
        <w:rPr>
          <w:rStyle w:val="Style15"/>
          <w:lang w:val="ru-RU"/>
        </w:rPr>
        <w:t xml:space="preserve"> для звезды с массой </w:t>
      </w:r>
      <w:r>
        <w:rPr>
          <w:rStyle w:val="Style15"/>
          <w:iCs/>
          <w:lang w:val="ru-RU"/>
        </w:rPr>
        <w:t>5.1 </w:t>
      </w:r>
      <w:r>
        <w:rPr>
          <w:rStyle w:val="Style15"/>
          <w:i/>
          <w:iCs/>
        </w:rPr>
        <w:t>M</w:t>
      </w:r>
      <w:r>
        <w:rPr>
          <w:rStyle w:val="Style15"/>
          <w:rFonts w:eastAsia="Cambria Math" w:cs="Cambria Math" w:ascii="Cambria Math" w:hAnsi="Cambria Math"/>
          <w:iCs/>
          <w:vertAlign w:val="subscript"/>
          <w:lang w:val="ru-RU"/>
        </w:rPr>
        <w:t>⊙</w:t>
      </w:r>
      <w:r>
        <w:rPr>
          <w:rStyle w:val="Style15"/>
          <w:lang w:val="ru-RU"/>
        </w:rPr>
        <w:t xml:space="preserve"> (для </w:t>
      </w:r>
      <w:r>
        <w:rPr>
          <w:rStyle w:val="Style15"/>
          <w:iCs/>
          <w:lang w:val="ru-RU"/>
        </w:rPr>
        <w:t>[</w:t>
      </w:r>
      <w:r>
        <w:rPr>
          <w:rStyle w:val="Style15"/>
          <w:iCs/>
        </w:rPr>
        <w:t>Fe</w:t>
      </w:r>
      <w:r>
        <w:rPr>
          <w:rStyle w:val="Style15"/>
          <w:iCs/>
          <w:lang w:val="ru-RU"/>
        </w:rPr>
        <w:t>/</w:t>
      </w:r>
      <w:r>
        <w:rPr>
          <w:rStyle w:val="Style15"/>
          <w:iCs/>
        </w:rPr>
        <w:t>H</w:t>
      </w:r>
      <w:r>
        <w:rPr>
          <w:rStyle w:val="Style15"/>
          <w:iCs/>
          <w:lang w:val="ru-RU"/>
        </w:rPr>
        <w:t>]</w:t>
      </w:r>
      <w:r>
        <w:rPr>
          <w:rStyle w:val="Style15"/>
          <w:i/>
          <w:iCs/>
          <w:lang w:val="ru-RU"/>
        </w:rPr>
        <w:t xml:space="preserve"> ≈ </w:t>
        <w:noBreakHyphen/>
        <w:t>0.18</w:t>
      </w:r>
      <w:r>
        <w:rPr>
          <w:rStyle w:val="Style15"/>
          <w:i/>
          <w:iCs/>
        </w:rPr>
        <w:t> </w:t>
      </w:r>
      <w:r>
        <w:rPr>
          <w:rStyle w:val="Style15"/>
          <w:iCs/>
        </w:rPr>
        <w:t>dex</w:t>
      </w:r>
      <w:r>
        <w:rPr>
          <w:rStyle w:val="Style15"/>
          <w:iCs/>
          <w:lang w:val="ru-RU"/>
        </w:rPr>
        <w:t>)</w:t>
      </w:r>
      <w:r>
        <w:rPr>
          <w:rStyle w:val="Style15"/>
          <w:lang w:val="ru-RU"/>
        </w:rPr>
        <w:t xml:space="preserve"> или </w:t>
      </w:r>
      <w:r>
        <w:rPr>
          <w:rStyle w:val="Style15"/>
          <w:i/>
          <w:iCs/>
          <w:lang w:val="ru-RU"/>
        </w:rPr>
        <w:t>5.2 </w:t>
      </w:r>
      <w:r>
        <w:rPr>
          <w:rStyle w:val="Style15"/>
          <w:i/>
          <w:iCs/>
        </w:rPr>
        <w:t>M</w:t>
      </w:r>
      <w:r>
        <w:rPr>
          <w:rStyle w:val="Style15"/>
          <w:rFonts w:eastAsia="Cambria Math" w:cs="Cambria Math" w:ascii="Cambria Math" w:hAnsi="Cambria Math"/>
          <w:iCs/>
          <w:vertAlign w:val="subscript"/>
          <w:lang w:val="ru-RU"/>
        </w:rPr>
        <w:t>⊙</w:t>
      </w:r>
      <w:r>
        <w:rPr>
          <w:rStyle w:val="Style15"/>
          <w:lang w:val="ru-RU"/>
        </w:rPr>
        <w:t xml:space="preserve"> (для </w:t>
      </w:r>
      <w:r>
        <w:rPr>
          <w:rStyle w:val="Style15"/>
          <w:iCs/>
          <w:lang w:val="ru-RU"/>
        </w:rPr>
        <w:t>[</w:t>
      </w:r>
      <w:r>
        <w:rPr>
          <w:rStyle w:val="Style15"/>
          <w:iCs/>
        </w:rPr>
        <w:t>Fe</w:t>
      </w:r>
      <w:r>
        <w:rPr>
          <w:rStyle w:val="Style15"/>
          <w:iCs/>
          <w:lang w:val="ru-RU"/>
        </w:rPr>
        <w:t>/</w:t>
      </w:r>
      <w:r>
        <w:rPr>
          <w:rStyle w:val="Style15"/>
          <w:iCs/>
        </w:rPr>
        <w:t>H</w:t>
      </w:r>
      <w:r>
        <w:rPr>
          <w:rStyle w:val="Style15"/>
          <w:iCs/>
          <w:lang w:val="ru-RU"/>
        </w:rPr>
        <w:t>] ≈ -0.10</w:t>
      </w:r>
      <w:r>
        <w:rPr>
          <w:rStyle w:val="Style15"/>
          <w:iCs/>
        </w:rPr>
        <w:t> dex</w:t>
      </w:r>
      <w:r>
        <w:rPr>
          <w:rStyle w:val="Style15"/>
          <w:lang w:val="ru-RU"/>
        </w:rPr>
        <w:t xml:space="preserve">). Интервал значений массы цефеиды удалось сузить примерно до </w:t>
      </w:r>
      <w:r>
        <w:rPr>
          <w:rStyle w:val="Style15"/>
          <w:i/>
          <w:iCs/>
          <w:lang w:val="ru-RU"/>
        </w:rPr>
        <w:t>0.1 </w:t>
      </w:r>
      <w:r>
        <w:rPr>
          <w:rStyle w:val="Style15"/>
          <w:i/>
          <w:iCs/>
        </w:rPr>
        <w:t>M</w:t>
      </w:r>
      <w:r>
        <w:rPr>
          <w:rStyle w:val="Style15"/>
          <w:rFonts w:eastAsia="Cambria Math" w:cs="Cambria Math" w:ascii="Cambria Math" w:hAnsi="Cambria Math"/>
          <w:iCs/>
          <w:vertAlign w:val="subscript"/>
          <w:lang w:val="ru-RU"/>
        </w:rPr>
        <w:t>⊙</w:t>
      </w:r>
      <w:r>
        <w:rPr>
          <w:rStyle w:val="Style15"/>
          <w:lang w:val="ru-RU"/>
        </w:rPr>
        <w:t xml:space="preserve">. Рост периода пульсаций свидетельствует о том, что цефеида находится на стадии третьего пересечения полосы нестабильности. Попутно показано, что значение расстояния, приведённое в каталоге </w:t>
      </w:r>
      <w:r>
        <w:rPr>
          <w:rStyle w:val="Style15"/>
        </w:rPr>
        <w:t>Gaia DR</w:t>
      </w:r>
      <w:r>
        <w:rPr>
          <w:rStyle w:val="Style15"/>
          <w:lang w:val="ru-RU"/>
        </w:rPr>
        <w:t>3, завышено на 25%.</w:t>
      </w:r>
    </w:p>
    <w:p>
      <w:pPr>
        <w:pStyle w:val="Normal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ind w:firstLine="708"/>
        <w:rPr>
          <w:rStyle w:val="Style15"/>
          <w:rFonts w:eastAsia="Times New Roman" w:cs="Times New Roman"/>
          <w:lang w:val="ru-RU"/>
        </w:rPr>
      </w:pPr>
      <w:r>
        <w:rPr>
          <w:rStyle w:val="Style15"/>
          <w:lang w:val="ru-RU"/>
        </w:rPr>
        <w:t>По известной массе спутника (около 2.5 </w:t>
      </w:r>
      <w:r>
        <w:rPr>
          <w:rStyle w:val="Style15"/>
          <w:i/>
        </w:rPr>
        <w:t>M</w:t>
      </w:r>
      <w:r>
        <w:rPr>
          <w:rStyle w:val="Style15"/>
          <w:rFonts w:eastAsia="Cambria Math" w:cs="Cambria Math" w:ascii="Cambria Math" w:hAnsi="Cambria Math"/>
          <w:iCs/>
          <w:vertAlign w:val="subscript"/>
          <w:lang w:val="ru-RU"/>
        </w:rPr>
        <w:t>⊙</w:t>
      </w:r>
      <w:r>
        <w:rPr>
          <w:rStyle w:val="Style15"/>
          <w:lang w:val="ru-RU"/>
        </w:rPr>
        <w:t xml:space="preserve">) и уточнённой массе цефеиды и значению функции масс </w:t>
      </w:r>
      <w:r>
        <w:rPr>
          <w:rStyle w:val="Style15"/>
          <w:i/>
          <w:iCs/>
        </w:rPr>
        <w:t>f</w:t>
      </w:r>
      <w:r>
        <w:rPr>
          <w:rStyle w:val="Style15"/>
          <w:i/>
          <w:iCs/>
          <w:lang w:val="ru-RU"/>
        </w:rPr>
        <w:t>(</w:t>
      </w:r>
      <w:r>
        <w:rPr>
          <w:rStyle w:val="Style15"/>
          <w:i/>
          <w:iCs/>
        </w:rPr>
        <w:t>M</w:t>
      </w:r>
      <w:r>
        <w:rPr>
          <w:rStyle w:val="Style15"/>
          <w:i/>
          <w:iCs/>
          <w:lang w:val="ru-RU"/>
        </w:rPr>
        <w:t xml:space="preserve">) ≈ </w:t>
      </w:r>
      <w:r>
        <w:rPr>
          <w:rStyle w:val="Style15"/>
          <w:iCs/>
          <w:lang w:val="ru-RU"/>
        </w:rPr>
        <w:t>(0.1366 ± 0.0037)</w:t>
      </w:r>
      <w:r>
        <w:rPr>
          <w:rStyle w:val="Style15"/>
          <w:i/>
          <w:iCs/>
        </w:rPr>
        <w:t> M</w:t>
      </w:r>
      <w:r>
        <w:rPr>
          <w:rStyle w:val="Style15"/>
          <w:rFonts w:eastAsia="Cambria Math" w:cs="Cambria Math" w:ascii="Cambria Math" w:hAnsi="Cambria Math"/>
          <w:iCs/>
          <w:vertAlign w:val="subscript"/>
          <w:lang w:val="ru-RU"/>
        </w:rPr>
        <w:t>⊙</w:t>
      </w:r>
      <w:r>
        <w:rPr>
          <w:rStyle w:val="Style15"/>
          <w:lang w:val="ru-RU"/>
        </w:rPr>
        <w:t xml:space="preserve"> впервые удалось определить абсолютные размеры орбит компонентов двойной (</w:t>
      </w:r>
      <w:r>
        <w:rPr>
          <w:rStyle w:val="Style15"/>
          <w:i/>
          <w:iCs/>
        </w:rPr>
        <w:t>a</w:t>
      </w:r>
      <w:r>
        <w:rPr>
          <w:rStyle w:val="Style15"/>
          <w:iCs/>
          <w:vertAlign w:val="subscript"/>
          <w:lang w:val="ru-RU"/>
        </w:rPr>
        <w:t>1</w:t>
      </w:r>
      <w:r>
        <w:rPr>
          <w:rStyle w:val="Style15"/>
          <w:i/>
          <w:iCs/>
          <w:lang w:val="ru-RU"/>
        </w:rPr>
        <w:t xml:space="preserve"> ≈ </w:t>
      </w:r>
      <w:r>
        <w:rPr>
          <w:rStyle w:val="Style15"/>
          <w:iCs/>
          <w:lang w:val="ru-RU"/>
        </w:rPr>
        <w:t>1.63 ± 0.05</w:t>
      </w:r>
      <w:r>
        <w:rPr>
          <w:rStyle w:val="Style15"/>
          <w:iCs/>
        </w:rPr>
        <w:t> </w:t>
      </w:r>
      <w:r>
        <w:rPr>
          <w:rStyle w:val="Style15"/>
          <w:iCs/>
          <w:lang w:val="ru-RU"/>
        </w:rPr>
        <w:t>а.е.</w:t>
      </w:r>
      <w:r>
        <w:rPr>
          <w:rStyle w:val="Style15"/>
          <w:lang w:val="ru-RU"/>
        </w:rPr>
        <w:t xml:space="preserve"> и </w:t>
      </w:r>
      <w:r>
        <w:rPr>
          <w:rStyle w:val="Style15"/>
          <w:i/>
          <w:iCs/>
        </w:rPr>
        <w:t>a</w:t>
      </w:r>
      <w:r>
        <w:rPr>
          <w:rStyle w:val="Style15"/>
          <w:iCs/>
          <w:vertAlign w:val="subscript"/>
          <w:lang w:val="ru-RU"/>
        </w:rPr>
        <w:t>2</w:t>
      </w:r>
      <w:r>
        <w:rPr>
          <w:rStyle w:val="Style15"/>
          <w:i/>
          <w:iCs/>
          <w:lang w:val="ru-RU"/>
        </w:rPr>
        <w:t xml:space="preserve"> ≈ </w:t>
      </w:r>
      <w:r>
        <w:rPr>
          <w:rStyle w:val="Style15"/>
          <w:iCs/>
          <w:lang w:val="ru-RU"/>
        </w:rPr>
        <w:t>3.42 ± 0.09</w:t>
      </w:r>
      <w:r>
        <w:rPr>
          <w:rStyle w:val="Style15"/>
          <w:iCs/>
        </w:rPr>
        <w:t> </w:t>
      </w:r>
      <w:r>
        <w:rPr>
          <w:rStyle w:val="Style15"/>
          <w:iCs/>
          <w:lang w:val="ru-RU"/>
        </w:rPr>
        <w:t>а.е.</w:t>
      </w:r>
      <w:r>
        <w:rPr>
          <w:rStyle w:val="Style15"/>
          <w:i/>
          <w:iCs/>
          <w:lang w:val="ru-RU"/>
        </w:rPr>
        <w:t xml:space="preserve"> </w:t>
      </w:r>
      <w:r>
        <w:rPr>
          <w:rStyle w:val="Style15"/>
          <w:lang w:val="ru-RU"/>
        </w:rPr>
        <w:t xml:space="preserve">для цефеиды и спутника соответственно) и угол наклона плоскости относительной орбиты, равный </w:t>
      </w:r>
      <w:r>
        <w:rPr>
          <w:rStyle w:val="Style15"/>
          <w:i/>
          <w:iCs/>
        </w:rPr>
        <w:t>i</w:t>
      </w:r>
      <w:r>
        <w:rPr>
          <w:rStyle w:val="Style15"/>
          <w:i/>
          <w:iCs/>
          <w:lang w:val="ru-RU"/>
        </w:rPr>
        <w:t xml:space="preserve"> ≈ </w:t>
      </w:r>
      <w:r>
        <w:rPr>
          <w:rStyle w:val="Style15"/>
          <w:iCs/>
          <w:lang w:val="ru-RU"/>
        </w:rPr>
        <w:t>(53±3)</w:t>
      </w:r>
      <w:r>
        <w:rPr>
          <w:rStyle w:val="Style15"/>
          <w:i/>
          <w:iCs/>
          <w:lang w:val="ru-RU"/>
        </w:rPr>
        <w:t>°</w:t>
      </w:r>
      <w:r>
        <w:rPr>
          <w:rStyle w:val="Style15"/>
          <w:lang w:val="ru-RU"/>
        </w:rPr>
        <w:t xml:space="preserve">. </w:t>
      </w:r>
    </w:p>
    <w:p>
      <w:pPr>
        <w:pStyle w:val="Normal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59"/>
        <w:jc w:val="both"/>
        <w:rPr>
          <w:b/>
          <w:b/>
          <w:bCs/>
        </w:rPr>
      </w:pPr>
      <w:r>
        <w:rPr>
          <w:b/>
          <w:bCs/>
          <w:lang w:val="ru-RU"/>
        </w:rPr>
        <w:t>Публикации</w:t>
      </w:r>
      <w:r>
        <w:rPr>
          <w:b/>
          <w:bCs/>
        </w:rPr>
        <w:t>:</w:t>
      </w:r>
    </w:p>
    <w:p>
      <w:pPr>
        <w:pStyle w:val="Normal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59"/>
        <w:jc w:val="both"/>
        <w:rPr>
          <w:rStyle w:val="Style15"/>
          <w:rFonts w:eastAsia="Times New Roman" w:cs="Times New Roman"/>
        </w:rPr>
      </w:pPr>
      <w:r>
        <w:rPr>
          <w:rStyle w:val="Style15"/>
        </w:rPr>
        <w:t>[1] Evans N.R., Proffitt Ch., Carpenter K.G., Winston E.M., Kober G.V., Gunther  H.M., Gorynya. N., Rastorguev A., Inno L. “The Mass of the Cepheid V350 Sgr”, Astrophys. J., V.866, id. 30, 2018.</w:t>
      </w:r>
    </w:p>
    <w:p>
      <w:pPr>
        <w:pStyle w:val="Normal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59"/>
        <w:jc w:val="both"/>
        <w:rPr>
          <w:rStyle w:val="Style15"/>
          <w:rFonts w:eastAsia="Times New Roman" w:cs="Times New Roman"/>
          <w:lang w:val="ru-RU"/>
        </w:rPr>
      </w:pPr>
      <w:r>
        <w:rPr>
          <w:rStyle w:val="Style15"/>
        </w:rPr>
        <w:t>[2] Rastorguev A.S., Zabolotskikh M.V., Lazovik Ya.A., Gorynya N.A., Berdnikov L.N. “New Version  of the Pulsating Photospheres Method: Multiphase Temperature Measurements of Cepheids”, Ast. Bull</w:t>
      </w:r>
      <w:r>
        <w:rPr>
          <w:rStyle w:val="Style15"/>
          <w:lang w:val="ru-RU"/>
        </w:rPr>
        <w:t xml:space="preserve">., </w:t>
      </w:r>
      <w:r>
        <w:rPr>
          <w:rStyle w:val="Style15"/>
        </w:rPr>
        <w:t>V</w:t>
      </w:r>
      <w:r>
        <w:rPr>
          <w:rStyle w:val="Style15"/>
          <w:lang w:val="ru-RU"/>
        </w:rPr>
        <w:t xml:space="preserve">.77, </w:t>
      </w:r>
      <w:r>
        <w:rPr>
          <w:rStyle w:val="Style15"/>
        </w:rPr>
        <w:t>pp</w:t>
      </w:r>
      <w:r>
        <w:rPr>
          <w:rStyle w:val="Style15"/>
          <w:lang w:val="ru-RU"/>
        </w:rPr>
        <w:t>.144–149, 2022.</w:t>
      </w:r>
    </w:p>
    <w:p>
      <w:pPr>
        <w:pStyle w:val="Normal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59"/>
        <w:jc w:val="both"/>
        <w:rPr>
          <w:rStyle w:val="Style15"/>
          <w:rFonts w:eastAsia="Times New Roman" w:cs="Times New Roman"/>
        </w:rPr>
      </w:pPr>
      <w:r>
        <w:rPr>
          <w:rStyle w:val="Style15"/>
          <w:lang w:val="ru-RU"/>
        </w:rPr>
        <w:t xml:space="preserve">[3] Расторгуев А.С., Заболотских М.В., Горыня Н.А. “Спектрально-двойная цефеида </w:t>
      </w:r>
      <w:r>
        <w:rPr>
          <w:rStyle w:val="Style15"/>
        </w:rPr>
        <w:t>V</w:t>
      </w:r>
      <w:r>
        <w:rPr>
          <w:rStyle w:val="Style15"/>
          <w:lang w:val="ru-RU"/>
        </w:rPr>
        <w:t>350</w:t>
      </w:r>
      <w:r>
        <w:rPr>
          <w:rStyle w:val="Style15"/>
        </w:rPr>
        <w:t> Sgr</w:t>
      </w:r>
      <w:r>
        <w:rPr>
          <w:rStyle w:val="Style15"/>
          <w:lang w:val="ru-RU"/>
        </w:rPr>
        <w:t>: ревизия физических характеристик и эволюционного статуса”. Астрон. Бюлл., Т. 79, № 4, с. 553–568, 2024.</w:t>
      </w:r>
    </w:p>
    <w:p>
      <w:pPr>
        <w:pStyle w:val="Normal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59"/>
        <w:jc w:val="both"/>
        <w:rPr>
          <w:rStyle w:val="Style15"/>
          <w:rFonts w:eastAsia="Times New Roman" w:cs="Times New Roman"/>
          <w:b/>
          <w:b/>
          <w:bCs/>
          <w:lang w:val="ru-RU"/>
        </w:rPr>
      </w:pPr>
      <w:r>
        <w:rPr>
          <w:rFonts w:eastAsia="Times New Roman" w:cs="Times New Roman"/>
          <w:b/>
          <w:bCs/>
          <w:lang w:val="ru-RU"/>
        </w:rPr>
      </w:r>
    </w:p>
    <w:p>
      <w:pPr>
        <w:pStyle w:val="Normal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59"/>
        <w:jc w:val="both"/>
        <w:rPr>
          <w:rStyle w:val="Style15"/>
          <w:rFonts w:eastAsia="Times New Roman" w:cs="Times New Roman"/>
          <w:lang w:val="ru-RU"/>
        </w:rPr>
      </w:pPr>
      <w:r>
        <w:rPr/>
        <w:drawing>
          <wp:inline distT="0" distB="0" distL="0" distR="0">
            <wp:extent cx="3467735" cy="2889250"/>
            <wp:effectExtent l="0" t="0" r="0" b="0"/>
            <wp:docPr id="1" name="Image3" descr="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descr="Рисунок 7"/>
                    <pic:cNvPicPr>
                      <a:picLocks noChangeAspect="1" noChangeArrowheads="1"/>
                    </pic:cNvPicPr>
                  </pic:nvPicPr>
                  <pic:blipFill>
                    <a:blip r:embed="rId2"/>
                    <a:stretch>
                      <a:fillRect/>
                    </a:stretch>
                  </pic:blipFill>
                  <pic:spPr bwMode="auto">
                    <a:xfrm>
                      <a:off x="0" y="0"/>
                      <a:ext cx="3467735" cy="2889250"/>
                    </a:xfrm>
                    <a:prstGeom prst="rect">
                      <a:avLst/>
                    </a:prstGeom>
                  </pic:spPr>
                </pic:pic>
              </a:graphicData>
            </a:graphic>
          </wp:inline>
        </w:drawing>
      </w:r>
    </w:p>
    <w:p>
      <w:pPr>
        <w:pStyle w:val="Normal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59"/>
        <w:jc w:val="both"/>
        <w:rPr>
          <w:rStyle w:val="Style15"/>
          <w:rFonts w:eastAsia="Times New Roman" w:cs="Times New Roman"/>
          <w:sz w:val="22"/>
          <w:szCs w:val="22"/>
          <w:lang w:val="ru-RU"/>
        </w:rPr>
      </w:pPr>
      <w:r>
        <w:rPr>
          <w:rStyle w:val="Style15"/>
          <w:sz w:val="22"/>
          <w:szCs w:val="22"/>
          <w:lang w:val="ru-RU"/>
        </w:rPr>
        <w:t xml:space="preserve">Рис. 1. Эволюционный статус цефеиды </w:t>
      </w:r>
      <w:r>
        <w:rPr>
          <w:rStyle w:val="Style15"/>
          <w:sz w:val="22"/>
          <w:szCs w:val="22"/>
        </w:rPr>
        <w:t>V</w:t>
      </w:r>
      <w:r>
        <w:rPr>
          <w:rStyle w:val="Style15"/>
          <w:sz w:val="22"/>
          <w:szCs w:val="22"/>
          <w:lang w:val="ru-RU"/>
        </w:rPr>
        <w:t>350</w:t>
      </w:r>
      <w:r>
        <w:rPr>
          <w:rStyle w:val="Style15"/>
          <w:sz w:val="22"/>
          <w:szCs w:val="22"/>
        </w:rPr>
        <w:t> Sgr</w:t>
      </w:r>
      <w:r>
        <w:rPr>
          <w:rStyle w:val="Style15"/>
          <w:sz w:val="22"/>
          <w:szCs w:val="22"/>
          <w:lang w:val="ru-RU"/>
        </w:rPr>
        <w:t xml:space="preserve">. Сплошная синяя линия – эволюционный трек </w:t>
      </w:r>
      <w:r>
        <w:rPr>
          <w:rStyle w:val="Style15"/>
          <w:sz w:val="22"/>
          <w:szCs w:val="22"/>
        </w:rPr>
        <w:t>MESA</w:t>
      </w:r>
      <w:r>
        <w:rPr>
          <w:rStyle w:val="Style15"/>
          <w:sz w:val="22"/>
          <w:szCs w:val="22"/>
          <w:lang w:val="ru-RU"/>
        </w:rPr>
        <w:t xml:space="preserve"> для звёзды с массой </w:t>
      </w:r>
      <w:r>
        <w:rPr>
          <w:rStyle w:val="Style15"/>
          <w:iCs/>
          <w:sz w:val="22"/>
          <w:szCs w:val="22"/>
          <w:lang w:val="ru-RU"/>
        </w:rPr>
        <w:t>5.2</w:t>
      </w:r>
      <w:r>
        <w:rPr>
          <w:rStyle w:val="Style15"/>
          <w:i/>
          <w:iCs/>
          <w:sz w:val="22"/>
          <w:szCs w:val="22"/>
          <w:lang w:val="ru-RU"/>
        </w:rPr>
        <w:t> </w:t>
      </w:r>
      <w:r>
        <w:rPr>
          <w:rStyle w:val="Style15"/>
          <w:i/>
          <w:iCs/>
          <w:sz w:val="22"/>
          <w:szCs w:val="22"/>
        </w:rPr>
        <w:t>M</w:t>
      </w:r>
      <w:r>
        <w:rPr>
          <w:rStyle w:val="Style15"/>
          <w:rFonts w:eastAsia="Cambria Math" w:cs="Cambria Math" w:ascii="Cambria Math" w:hAnsi="Cambria Math"/>
          <w:iCs/>
          <w:vertAlign w:val="subscript"/>
          <w:lang w:val="ru-RU"/>
        </w:rPr>
        <w:t>⊙</w:t>
      </w:r>
      <w:r>
        <w:rPr>
          <w:rStyle w:val="Style15"/>
          <w:sz w:val="22"/>
          <w:szCs w:val="22"/>
          <w:lang w:val="ru-RU"/>
        </w:rPr>
        <w:t xml:space="preserve"> (</w:t>
      </w:r>
      <w:r>
        <w:rPr>
          <w:rStyle w:val="Style15"/>
          <w:iCs/>
          <w:sz w:val="22"/>
          <w:szCs w:val="22"/>
          <w:lang w:val="ru-RU"/>
        </w:rPr>
        <w:t>[</w:t>
      </w:r>
      <w:r>
        <w:rPr>
          <w:rStyle w:val="Style15"/>
          <w:iCs/>
          <w:sz w:val="22"/>
          <w:szCs w:val="22"/>
        </w:rPr>
        <w:t>Fe</w:t>
      </w:r>
      <w:r>
        <w:rPr>
          <w:rStyle w:val="Style15"/>
          <w:iCs/>
          <w:sz w:val="22"/>
          <w:szCs w:val="22"/>
          <w:lang w:val="ru-RU"/>
        </w:rPr>
        <w:t>/</w:t>
      </w:r>
      <w:r>
        <w:rPr>
          <w:rStyle w:val="Style15"/>
          <w:iCs/>
          <w:sz w:val="22"/>
          <w:szCs w:val="22"/>
        </w:rPr>
        <w:t>H</w:t>
      </w:r>
      <w:r>
        <w:rPr>
          <w:rStyle w:val="Style15"/>
          <w:iCs/>
          <w:sz w:val="22"/>
          <w:szCs w:val="22"/>
          <w:lang w:val="ru-RU"/>
        </w:rPr>
        <w:t>] ≈ -0.18</w:t>
      </w:r>
      <w:r>
        <w:rPr>
          <w:rStyle w:val="Style15"/>
          <w:iCs/>
          <w:sz w:val="22"/>
          <w:szCs w:val="22"/>
        </w:rPr>
        <w:t> dex</w:t>
      </w:r>
      <w:r>
        <w:rPr>
          <w:rStyle w:val="Style15"/>
          <w:iCs/>
          <w:sz w:val="22"/>
          <w:szCs w:val="22"/>
          <w:lang w:val="ru-RU"/>
        </w:rPr>
        <w:t>)</w:t>
      </w:r>
      <w:r>
        <w:rPr>
          <w:rStyle w:val="Style15"/>
          <w:i/>
          <w:iCs/>
          <w:sz w:val="22"/>
          <w:szCs w:val="22"/>
          <w:lang w:val="ru-RU"/>
        </w:rPr>
        <w:t>.</w:t>
      </w:r>
      <w:r>
        <w:rPr>
          <w:rStyle w:val="Style15"/>
          <w:sz w:val="22"/>
          <w:szCs w:val="22"/>
          <w:lang w:val="ru-RU"/>
        </w:rPr>
        <w:t xml:space="preserve"> Штриховые сиреневая и почти совпадающая с ней чёрная линия – эволюционные треки </w:t>
      </w:r>
      <w:r>
        <w:rPr>
          <w:rStyle w:val="Style15"/>
          <w:sz w:val="22"/>
          <w:szCs w:val="22"/>
        </w:rPr>
        <w:t>MESA</w:t>
      </w:r>
      <w:r>
        <w:rPr>
          <w:rStyle w:val="Style15"/>
          <w:sz w:val="22"/>
          <w:szCs w:val="22"/>
          <w:lang w:val="ru-RU"/>
        </w:rPr>
        <w:t xml:space="preserve"> для звёзд с массами </w:t>
      </w:r>
      <w:r>
        <w:rPr>
          <w:rStyle w:val="Style15"/>
          <w:iCs/>
          <w:sz w:val="22"/>
          <w:szCs w:val="22"/>
          <w:lang w:val="ru-RU"/>
        </w:rPr>
        <w:t>5.1</w:t>
      </w:r>
      <w:r>
        <w:rPr>
          <w:rStyle w:val="Style15"/>
          <w:i/>
          <w:iCs/>
          <w:sz w:val="22"/>
          <w:szCs w:val="22"/>
          <w:lang w:val="ru-RU"/>
        </w:rPr>
        <w:t> </w:t>
      </w:r>
      <w:r>
        <w:rPr>
          <w:rStyle w:val="Style15"/>
          <w:i/>
          <w:iCs/>
          <w:sz w:val="22"/>
          <w:szCs w:val="22"/>
        </w:rPr>
        <w:t>M</w:t>
      </w:r>
      <w:r>
        <w:rPr>
          <w:rStyle w:val="Style15"/>
          <w:rFonts w:eastAsia="Cambria Math" w:cs="Cambria Math" w:ascii="Cambria Math" w:hAnsi="Cambria Math"/>
          <w:iCs/>
          <w:vertAlign w:val="subscript"/>
          <w:lang w:val="ru-RU"/>
        </w:rPr>
        <w:t>⊙</w:t>
      </w:r>
      <w:r>
        <w:rPr>
          <w:rStyle w:val="Style15"/>
          <w:sz w:val="22"/>
          <w:szCs w:val="22"/>
          <w:lang w:val="ru-RU"/>
        </w:rPr>
        <w:t xml:space="preserve"> (</w:t>
      </w:r>
      <w:r>
        <w:rPr>
          <w:rStyle w:val="Style15"/>
          <w:iCs/>
          <w:sz w:val="22"/>
          <w:szCs w:val="22"/>
          <w:lang w:val="ru-RU"/>
        </w:rPr>
        <w:t>[</w:t>
      </w:r>
      <w:r>
        <w:rPr>
          <w:rStyle w:val="Style15"/>
          <w:iCs/>
          <w:sz w:val="22"/>
          <w:szCs w:val="22"/>
        </w:rPr>
        <w:t>Fe</w:t>
      </w:r>
      <w:r>
        <w:rPr>
          <w:rStyle w:val="Style15"/>
          <w:iCs/>
          <w:sz w:val="22"/>
          <w:szCs w:val="22"/>
          <w:lang w:val="ru-RU"/>
        </w:rPr>
        <w:t>/</w:t>
      </w:r>
      <w:r>
        <w:rPr>
          <w:rStyle w:val="Style15"/>
          <w:iCs/>
          <w:sz w:val="22"/>
          <w:szCs w:val="22"/>
        </w:rPr>
        <w:t>H</w:t>
      </w:r>
      <w:r>
        <w:rPr>
          <w:rStyle w:val="Style15"/>
          <w:iCs/>
          <w:sz w:val="22"/>
          <w:szCs w:val="22"/>
          <w:lang w:val="ru-RU"/>
        </w:rPr>
        <w:t>] ≈ -0.18</w:t>
      </w:r>
      <w:r>
        <w:rPr>
          <w:rStyle w:val="Style15"/>
          <w:iCs/>
          <w:sz w:val="22"/>
          <w:szCs w:val="22"/>
        </w:rPr>
        <w:t> dex</w:t>
      </w:r>
      <w:r>
        <w:rPr>
          <w:rStyle w:val="Style15"/>
          <w:iCs/>
          <w:sz w:val="22"/>
          <w:szCs w:val="22"/>
          <w:lang w:val="ru-RU"/>
        </w:rPr>
        <w:t>)</w:t>
      </w:r>
      <w:r>
        <w:rPr>
          <w:rStyle w:val="Style15"/>
          <w:sz w:val="22"/>
          <w:szCs w:val="22"/>
          <w:lang w:val="ru-RU"/>
        </w:rPr>
        <w:t xml:space="preserve"> и </w:t>
      </w:r>
      <w:r>
        <w:rPr>
          <w:rStyle w:val="Style15"/>
          <w:iCs/>
          <w:sz w:val="22"/>
          <w:szCs w:val="22"/>
          <w:lang w:val="ru-RU"/>
        </w:rPr>
        <w:t>5.2</w:t>
      </w:r>
      <w:r>
        <w:rPr>
          <w:rStyle w:val="Style15"/>
          <w:i/>
          <w:iCs/>
          <w:sz w:val="22"/>
          <w:szCs w:val="22"/>
          <w:lang w:val="ru-RU"/>
        </w:rPr>
        <w:t> </w:t>
      </w:r>
      <w:r>
        <w:rPr>
          <w:rStyle w:val="Style15"/>
          <w:i/>
          <w:iCs/>
          <w:sz w:val="22"/>
          <w:szCs w:val="22"/>
        </w:rPr>
        <w:t>M</w:t>
      </w:r>
      <w:r>
        <w:rPr>
          <w:rStyle w:val="Style15"/>
          <w:rFonts w:eastAsia="Cambria Math" w:cs="Cambria Math" w:ascii="Cambria Math" w:hAnsi="Cambria Math"/>
          <w:iCs/>
          <w:vertAlign w:val="subscript"/>
          <w:lang w:val="ru-RU"/>
        </w:rPr>
        <w:t>⊙</w:t>
      </w:r>
      <w:r>
        <w:rPr>
          <w:rStyle w:val="Style15"/>
          <w:sz w:val="22"/>
          <w:szCs w:val="22"/>
          <w:lang w:val="ru-RU"/>
        </w:rPr>
        <w:t xml:space="preserve"> (</w:t>
      </w:r>
      <w:r>
        <w:rPr>
          <w:rStyle w:val="Style15"/>
          <w:iCs/>
          <w:sz w:val="22"/>
          <w:szCs w:val="22"/>
          <w:lang w:val="ru-RU"/>
        </w:rPr>
        <w:t>[</w:t>
      </w:r>
      <w:r>
        <w:rPr>
          <w:rStyle w:val="Style15"/>
          <w:iCs/>
          <w:sz w:val="22"/>
          <w:szCs w:val="22"/>
        </w:rPr>
        <w:t>Fe</w:t>
      </w:r>
      <w:r>
        <w:rPr>
          <w:rStyle w:val="Style15"/>
          <w:iCs/>
          <w:sz w:val="22"/>
          <w:szCs w:val="22"/>
          <w:lang w:val="ru-RU"/>
        </w:rPr>
        <w:t>/</w:t>
      </w:r>
      <w:r>
        <w:rPr>
          <w:rStyle w:val="Style15"/>
          <w:iCs/>
          <w:sz w:val="22"/>
          <w:szCs w:val="22"/>
        </w:rPr>
        <w:t>H</w:t>
      </w:r>
      <w:r>
        <w:rPr>
          <w:rStyle w:val="Style15"/>
          <w:iCs/>
          <w:sz w:val="22"/>
          <w:szCs w:val="22"/>
          <w:lang w:val="ru-RU"/>
        </w:rPr>
        <w:t>] ≈ -0.10</w:t>
      </w:r>
      <w:r>
        <w:rPr>
          <w:rStyle w:val="Style15"/>
          <w:iCs/>
          <w:sz w:val="22"/>
          <w:szCs w:val="22"/>
        </w:rPr>
        <w:t> dex</w:t>
      </w:r>
      <w:r>
        <w:rPr>
          <w:rStyle w:val="Style15"/>
          <w:sz w:val="22"/>
          <w:szCs w:val="22"/>
          <w:lang w:val="ru-RU"/>
        </w:rPr>
        <w:t xml:space="preserve">). Красные эллипсы показывают пульсационные изменения абсолютной величины </w:t>
      </w:r>
      <w:r>
        <w:rPr>
          <w:rStyle w:val="Style15"/>
          <w:i/>
          <w:iCs/>
          <w:sz w:val="22"/>
          <w:szCs w:val="22"/>
        </w:rPr>
        <w:t>M</w:t>
      </w:r>
      <w:r>
        <w:rPr>
          <w:rStyle w:val="Style15"/>
          <w:i/>
          <w:iCs/>
          <w:sz w:val="22"/>
          <w:szCs w:val="22"/>
          <w:vertAlign w:val="subscript"/>
        </w:rPr>
        <w:t>V</w:t>
      </w:r>
      <w:r>
        <w:rPr>
          <w:rStyle w:val="Style15"/>
          <w:sz w:val="22"/>
          <w:szCs w:val="22"/>
          <w:lang w:val="ru-RU"/>
        </w:rPr>
        <w:t xml:space="preserve"> (вверху) и радиуса </w:t>
      </w:r>
      <w:r>
        <w:rPr>
          <w:rStyle w:val="Style15"/>
          <w:i/>
          <w:iCs/>
          <w:sz w:val="22"/>
          <w:szCs w:val="22"/>
        </w:rPr>
        <w:t>R</w:t>
      </w:r>
      <w:r>
        <w:rPr>
          <w:rStyle w:val="Style15"/>
          <w:sz w:val="22"/>
          <w:szCs w:val="22"/>
          <w:lang w:val="ru-RU"/>
        </w:rPr>
        <w:t xml:space="preserve"> (внизу).</w:t>
      </w:r>
    </w:p>
    <w:p>
      <w:pPr>
        <w:pStyle w:val="Normal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59"/>
        <w:jc w:val="both"/>
        <w:rPr>
          <w:lang w:val="ru-RU"/>
        </w:rPr>
      </w:pPr>
      <w:r>
        <w:rPr>
          <w:rFonts w:eastAsia="Times New Roman" w:cs="Times New Roman"/>
          <w:color w:val="000000" w:themeColor="text1"/>
          <w:lang w:val="ru-RU"/>
        </w:rPr>
        <w:t>Работа выполнена в рамках</w:t>
      </w:r>
      <w:r>
        <w:rPr>
          <w:lang w:val="ru-RU"/>
        </w:rPr>
        <w:t xml:space="preserve"> НИР ИНАСАН «Создание и анализ ресурсов астрономических данных для Российской виртуально обсерватории» (шифр РВО-5) (</w:t>
      </w:r>
      <w:r>
        <w:rPr>
          <w:rFonts w:eastAsia="Times New Roman" w:cs="Times New Roman"/>
          <w:color w:val="000000" w:themeColor="text1"/>
          <w:u w:val="none" w:color="FFFFFF"/>
          <w:lang w:val="ru-RU"/>
        </w:rPr>
        <w:t>FFWN-2024-0002)</w:t>
      </w:r>
      <w:r>
        <w:rPr>
          <w:lang w:val="ru-RU"/>
        </w:rPr>
        <w:t>.</w:t>
      </w:r>
    </w:p>
    <w:p>
      <w:pPr>
        <w:pStyle w:val="Normal"/>
        <w:widowControl/>
        <w:suppressAutoHyphens w:val="false"/>
        <w:spacing w:lineRule="auto" w:line="276" w:before="0" w:after="200"/>
        <w:rPr>
          <w:rFonts w:ascii="Times New Roman" w:hAnsi="Times New Roman" w:cs="Times New Roman"/>
          <w:b/>
          <w:b/>
          <w:bCs/>
          <w:color w:val="000000"/>
        </w:rPr>
      </w:pPr>
      <w:r>
        <w:rPr/>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01"/>
    <w:family w:val="roman"/>
    <w:pitch w:val="variable"/>
  </w:font>
  <w:font w:name="Cambria Math">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4055c"/>
    <w:pPr>
      <w:widowControl w:val="false"/>
      <w:suppressAutoHyphens w:val="true"/>
      <w:bidi w:val="0"/>
      <w:spacing w:lineRule="auto" w:line="240" w:before="0" w:after="0"/>
      <w:jc w:val="left"/>
    </w:pPr>
    <w:rPr>
      <w:rFonts w:ascii="Liberation Serif" w:hAnsi="Liberation Serif" w:eastAsia="Source Han Sans CN Normal" w:cs="DejaVu Sans"/>
      <w:color w:val="00000A"/>
      <w:kern w:val="0"/>
      <w:sz w:val="24"/>
      <w:szCs w:val="24"/>
      <w:lang w:val="ru-RU" w:eastAsia="zh-CN" w:bidi="hi-IN"/>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446cfa"/>
    <w:rPr>
      <w:rFonts w:ascii="Tahoma" w:hAnsi="Tahoma" w:eastAsia="Source Han Sans CN Normal" w:cs="Mangal"/>
      <w:color w:val="00000A"/>
      <w:sz w:val="16"/>
      <w:szCs w:val="14"/>
      <w:lang w:eastAsia="zh-CN" w:bidi="hi-IN"/>
    </w:rPr>
  </w:style>
  <w:style w:type="character" w:styleId="Style15" w:customStyle="1">
    <w:name w:val="Нет"/>
    <w:qFormat/>
    <w:rsid w:val="005924ed"/>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b4055c"/>
    <w:pPr>
      <w:spacing w:before="0" w:after="0"/>
      <w:ind w:left="720" w:hanging="0"/>
      <w:contextualSpacing/>
    </w:pPr>
    <w:rPr>
      <w:rFonts w:cs="Mangal"/>
      <w:szCs w:val="21"/>
    </w:rPr>
  </w:style>
  <w:style w:type="paragraph" w:styleId="NormalWeb">
    <w:name w:val="Normal (Web)"/>
    <w:basedOn w:val="Normal"/>
    <w:uiPriority w:val="99"/>
    <w:unhideWhenUsed/>
    <w:qFormat/>
    <w:rsid w:val="00446cfa"/>
    <w:pPr>
      <w:widowControl/>
      <w:suppressAutoHyphens w:val="false"/>
      <w:spacing w:beforeAutospacing="1" w:afterAutospacing="1"/>
    </w:pPr>
    <w:rPr>
      <w:rFonts w:ascii="Times New Roman" w:hAnsi="Times New Roman" w:eastAsia="Times New Roman" w:cs="Times New Roman"/>
      <w:color w:val="auto"/>
      <w:lang w:eastAsia="ru-RU" w:bidi="ar-SA"/>
    </w:rPr>
  </w:style>
  <w:style w:type="paragraph" w:styleId="BalloonText">
    <w:name w:val="Balloon Text"/>
    <w:basedOn w:val="Normal"/>
    <w:link w:val="Style14"/>
    <w:uiPriority w:val="99"/>
    <w:semiHidden/>
    <w:unhideWhenUsed/>
    <w:qFormat/>
    <w:rsid w:val="00446cfa"/>
    <w:pPr/>
    <w:rPr>
      <w:rFonts w:ascii="Tahoma" w:hAnsi="Tahoma" w:cs="Mangal"/>
      <w:sz w:val="16"/>
      <w:szCs w:val="14"/>
    </w:rPr>
  </w:style>
  <w:style w:type="paragraph" w:styleId="Normal0" w:customStyle="1">
    <w:name w:val="Normal0"/>
    <w:qFormat/>
    <w:rsid w:val="005924ed"/>
    <w:pPr>
      <w:widowControl/>
      <w:suppressAutoHyphens w:val="true"/>
      <w:bidi w:val="0"/>
      <w:spacing w:lineRule="auto" w:line="240" w:before="0" w:after="0"/>
      <w:jc w:val="left"/>
    </w:pPr>
    <w:rPr>
      <w:rFonts w:ascii="Times New Roman" w:hAnsi="Times New Roman" w:eastAsia="Arial Unicode MS" w:cs="Arial Unicode MS"/>
      <w:color w:val="000000"/>
      <w:kern w:val="2"/>
      <w:sz w:val="24"/>
      <w:szCs w:val="24"/>
      <w:u w:val="none" w:color="000000"/>
      <w:lang w:val="en-US" w:eastAsia="zh-CN" w:bidi="hi-IN"/>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Application>LibreOffice/7.3.7.2$Linux_X86_64 LibreOffice_project/30$Build-2</Application>
  <AppVersion>15.0000</AppVersion>
  <Pages>2</Pages>
  <Words>531</Words>
  <Characters>3132</Characters>
  <CharactersWithSpaces>3653</CharactersWithSpaces>
  <Paragraphs>14</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2023-12-14T10:56:00Z</dcterms:created>
  <dc:creator>Николай</dc:creator>
  <dc:description/>
  <dc:language>en-GB</dc:language>
  <cp:lastModifiedBy/>
  <dcterms:modified xsi:type="dcterms:W3CDTF">2025-06-06T12:57:15Z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