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color w:val="000000"/>
        </w:rPr>
      </w:pPr>
      <w:r>
        <w:rPr/>
      </w:r>
    </w:p>
    <w:p>
      <w:pPr>
        <w:pStyle w:val="Normal"/>
        <w:jc w:val="center"/>
        <w:rPr>
          <w:rFonts w:cs="Symbol"/>
          <w:b/>
          <w:b/>
          <w:color w:val="000000"/>
        </w:rPr>
      </w:pPr>
      <w:r>
        <w:rPr>
          <w:b/>
          <w:iCs/>
          <w:color w:val="000000"/>
        </w:rPr>
        <w:t>Аккреция сгустков как возможная причина длительных затмений у звезд UX Ori</w:t>
      </w:r>
      <w:r>
        <w:rPr>
          <w:rFonts w:cs="Symbol"/>
          <w:b/>
          <w:color w:val="000000"/>
        </w:rPr>
        <w:t>.</w:t>
      </w:r>
    </w:p>
    <w:p>
      <w:pPr>
        <w:pStyle w:val="Normal"/>
        <w:jc w:val="center"/>
        <w:rPr>
          <w:rFonts w:cs="Symbol"/>
          <w:color w:val="000000"/>
          <w:vertAlign w:val="superscript"/>
        </w:rPr>
      </w:pPr>
      <w:r>
        <w:rPr>
          <w:rFonts w:cs="Symbol"/>
          <w:color w:val="000000"/>
        </w:rPr>
        <w:t>Демидова Т.В</w:t>
      </w:r>
      <w:r>
        <w:rPr>
          <w:rFonts w:cs="Symbol"/>
          <w:color w:val="000000"/>
          <w:vertAlign w:val="superscript"/>
        </w:rPr>
        <w:t>1</w:t>
      </w:r>
      <w:r>
        <w:rPr>
          <w:rFonts w:cs="Symbol"/>
          <w:color w:val="000000"/>
        </w:rPr>
        <w:t>., Гринин В.П.</w:t>
      </w:r>
      <w:r>
        <w:rPr>
          <w:rFonts w:cs="Symbol"/>
          <w:color w:val="000000"/>
          <w:vertAlign w:val="superscript"/>
        </w:rPr>
        <w:t>2,3</w:t>
      </w:r>
      <w:r>
        <w:rPr>
          <w:rFonts w:cs="Symbol"/>
          <w:color w:val="000000"/>
        </w:rPr>
        <w:t>, Григорьев В.В.</w:t>
      </w:r>
      <w:r>
        <w:rPr>
          <w:rFonts w:cs="Symbol"/>
          <w:color w:val="000000"/>
          <w:vertAlign w:val="superscript"/>
        </w:rPr>
        <w:t>1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iCs/>
        </w:rPr>
      </w:pPr>
      <w:r>
        <w:rPr>
          <w:rFonts w:cs="Symbol"/>
          <w:color w:val="000000"/>
        </w:rPr>
        <w:t xml:space="preserve">1 - </w:t>
      </w:r>
      <w:r>
        <w:rPr>
          <w:iCs/>
        </w:rPr>
        <w:t>ФГБУН «КрАО РАН», пгт. Научный Бахчисарайского района, Респ. Крым, Россия</w:t>
      </w:r>
    </w:p>
    <w:p>
      <w:pPr>
        <w:pStyle w:val="Normal"/>
        <w:jc w:val="center"/>
        <w:rPr>
          <w:color w:val="000000"/>
        </w:rPr>
      </w:pPr>
      <w:r>
        <w:rPr>
          <w:color w:val="000000"/>
        </w:rPr>
        <w:t>2 – ФГБУН «</w:t>
      </w:r>
      <w:r>
        <w:rPr/>
        <w:t>ГАО РАН», 3 – ФГБОУ ВО «Санкт-Петербургский государственный университет»</w:t>
      </w:r>
    </w:p>
    <w:p>
      <w:pPr>
        <w:pStyle w:val="Normal"/>
        <w:ind w:firstLine="708"/>
        <w:jc w:val="both"/>
        <w:rPr>
          <w:color w:val="000000"/>
        </w:rPr>
      </w:pPr>
      <w:r>
        <w:rPr>
          <w:iCs/>
          <w:color w:val="000000"/>
        </w:rPr>
        <w:t>Облачная аккреция сгустков вещества на протопланетный диск рассматривается в качестве теории, объясняющей глубокие и длительные затмения у молодых звезд типа UX Ori. Такие затмения обнаружены у ряда молодых звезды, диски которых наблюдаются под небольшим углом к лучу зрения (</w:t>
      </w:r>
      <w:r>
        <w:rPr>
          <w:rFonts w:eastAsia="Liberation Serif" w:cs="Liberation Serif"/>
          <w:iCs/>
          <w:color w:val="000000"/>
        </w:rPr>
        <w:t>≤</w:t>
      </w:r>
      <w:r>
        <w:rPr>
          <w:iCs/>
          <w:color w:val="000000"/>
        </w:rPr>
        <w:t xml:space="preserve"> 20</w:t>
      </w:r>
      <w:r>
        <w:rPr>
          <w:rFonts w:ascii="DejaVu Sans" w:hAnsi="DejaVu Sans"/>
          <w:iCs/>
          <w:color w:val="000000"/>
        </w:rPr>
        <w:t>°</w:t>
      </w:r>
      <w:r>
        <w:rPr>
          <w:iCs/>
          <w:color w:val="000000"/>
        </w:rPr>
        <w:t xml:space="preserve">), их продолжительность составляет от нескольких лет до десятилетий, и существовавшие модели не могли их объяснить. </w:t>
      </w:r>
    </w:p>
    <w:p>
      <w:pPr>
        <w:pStyle w:val="Normal"/>
        <w:ind w:firstLine="708"/>
        <w:jc w:val="both"/>
        <w:rPr>
          <w:color w:val="000000"/>
        </w:rPr>
      </w:pPr>
      <w:r>
        <w:rPr>
          <w:iCs/>
          <w:color w:val="000000"/>
        </w:rPr>
        <w:t xml:space="preserve">Было выполнено газодинамическое моделирование процесса падения сгустка газа на протопланетный диск двумя принципиально разными методами: методом сглаживания по частицам (SPH) и методом конечных объемов. Расчеты показали схожие результаты. Во-первых, падение вещества по орбите, наклоненной к плоскости диска, приводит к искажению плоскости диска. Вследствие бурного перемешивания вещества сгустка и диска, газ, а вместе с ним и пыль, поднимается высоко над плоскостью диска, в результате наблюдается резкий рост (в течении года) оптической толщины на луче зрения при углах его наклона </w:t>
      </w:r>
      <w:r>
        <w:rPr>
          <w:rFonts w:eastAsia="Liberation Serif" w:cs="Liberation Serif"/>
          <w:iCs/>
          <w:color w:val="000000"/>
        </w:rPr>
        <w:t>≤</w:t>
      </w:r>
      <w:r>
        <w:rPr>
          <w:iCs/>
          <w:color w:val="000000"/>
        </w:rPr>
        <w:t xml:space="preserve"> 50</w:t>
      </w:r>
      <w:r>
        <w:rPr>
          <w:rFonts w:ascii="DejaVu Sans" w:hAnsi="DejaVu Sans"/>
          <w:iCs/>
          <w:color w:val="000000"/>
        </w:rPr>
        <w:t>°</w:t>
      </w:r>
      <w:r>
        <w:rPr>
          <w:iCs/>
          <w:color w:val="000000"/>
        </w:rPr>
        <w:t>, а затем плавное уменьшение поглощения (Рис. 1). Кроме того, возмущение в диске, вызванное падением сгустка, приводит к всплеску аккреционной активности звезды и, как следствие, к усилению дискового ветра. Пыль, поднятая ветром с поверхности диска, может вызвать резкое снижение яркости звезды, которое может длиться десятилетиями.</w:t>
      </w:r>
    </w:p>
    <w:p>
      <w:pPr>
        <w:pStyle w:val="Normal"/>
        <w:tabs>
          <w:tab w:val="clear" w:pos="708"/>
          <w:tab w:val="center" w:pos="4800" w:leader="none"/>
          <w:tab w:val="right" w:pos="9500" w:leader="none"/>
        </w:tabs>
        <w:ind w:firstLine="720"/>
        <w:jc w:val="both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451485</wp:posOffset>
            </wp:positionH>
            <wp:positionV relativeFrom="paragraph">
              <wp:posOffset>1230630</wp:posOffset>
            </wp:positionV>
            <wp:extent cx="3123565" cy="1767840"/>
            <wp:effectExtent l="0" t="0" r="0" b="0"/>
            <wp:wrapTopAndBottom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Cs/>
          <w:color w:val="000000"/>
        </w:rPr>
        <w:t xml:space="preserve">Таким образом, все три эффекта: подъем вещества над диском, рост темпа аккреции и усиление дискового ветра, отразятся на форме кривой блеска (в том числе и при больших углах наклона луча зрения к плоскости диска). Сначала произойдет резкое падение блеска на несколько звездных величин, затем пребывание в минимуме, которое может продлиться десятилетия, а далее плавный выход к яркому состоянию. Результаты расчетов применяются для объяснения длительных затмений на кривых блеска CQ Tau, V1184 Tau и AA Tau. </w:t>
      </w:r>
    </w:p>
    <w:p>
      <w:pPr>
        <w:pStyle w:val="Normal"/>
        <w:ind w:firstLine="708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tabs>
          <w:tab w:val="clear" w:pos="708"/>
          <w:tab w:val="center" w:pos="4800" w:leader="none"/>
          <w:tab w:val="right" w:pos="9500" w:leader="none"/>
        </w:tabs>
        <w:jc w:val="both"/>
        <w:rPr/>
      </w:pPr>
      <w:r>
        <w:rPr>
          <w:iCs/>
          <w:color w:val="000000"/>
        </w:rPr>
        <w:t xml:space="preserve">Рис. 1. Оптическая толщина на луче зрения в направлении </w:t>
      </w:r>
      <w:r>
        <w:rPr>
          <w:rFonts w:ascii="DejaVu Sans" w:hAnsi="DejaVu Sans"/>
          <w:iCs/>
          <w:color w:val="000000"/>
        </w:rPr>
        <w:t xml:space="preserve">φ </w:t>
      </w:r>
      <w:r>
        <w:rPr>
          <w:iCs/>
          <w:color w:val="000000"/>
        </w:rPr>
        <w:t>= 90</w:t>
      </w:r>
      <w:r>
        <w:rPr>
          <w:rFonts w:ascii="DejaVu Sans" w:hAnsi="DejaVu Sans"/>
          <w:iCs/>
          <w:color w:val="000000"/>
        </w:rPr>
        <w:t xml:space="preserve">° </w:t>
      </w:r>
      <w:r>
        <w:rPr>
          <w:iCs/>
          <w:color w:val="000000"/>
        </w:rPr>
        <w:t xml:space="preserve">и </w:t>
      </w:r>
      <w:r>
        <w:rPr>
          <w:rFonts w:ascii="DejaVu Sans" w:hAnsi="DejaVu Sans"/>
          <w:iCs/>
          <w:color w:val="000000"/>
        </w:rPr>
        <w:t xml:space="preserve">θ </w:t>
      </w:r>
      <w:r>
        <w:rPr>
          <w:iCs/>
          <w:color w:val="000000"/>
        </w:rPr>
        <w:t>= 45</w:t>
      </w:r>
      <w:r>
        <w:rPr>
          <w:rFonts w:ascii="DejaVu Sans" w:hAnsi="DejaVu Sans"/>
          <w:iCs/>
          <w:color w:val="000000"/>
        </w:rPr>
        <w:t xml:space="preserve">° </w:t>
      </w:r>
      <w:r>
        <w:rPr>
          <w:iCs/>
          <w:color w:val="000000"/>
        </w:rPr>
        <w:t>(соответствует наклону луча зрения)</w:t>
      </w:r>
      <w:r>
        <w:rPr>
          <w:rFonts w:ascii="DejaVu Sans" w:hAnsi="DejaVu Sans"/>
          <w:iCs/>
          <w:color w:val="000000"/>
        </w:rPr>
        <w:t xml:space="preserve"> </w:t>
      </w:r>
      <w:r>
        <w:rPr>
          <w:iCs/>
          <w:color w:val="000000"/>
        </w:rPr>
        <w:t xml:space="preserve">в полосе </w:t>
      </w:r>
      <w:r>
        <w:rPr>
          <w:i/>
          <w:iCs/>
          <w:color w:val="000000"/>
        </w:rPr>
        <w:t>V</w:t>
      </w:r>
      <w:r>
        <w:rPr>
          <w:iCs/>
          <w:color w:val="000000"/>
        </w:rPr>
        <w:t xml:space="preserve"> (красная линия с точками). Черной линией показано значение </w:t>
      </w:r>
      <w:r>
        <w:rPr>
          <w:rFonts w:ascii="DejaVu Sans" w:hAnsi="DejaVu Sans"/>
          <w:iCs/>
          <w:color w:val="000000"/>
        </w:rPr>
        <w:t>τ</w:t>
      </w:r>
      <w:r>
        <w:rPr>
          <w:iCs/>
          <w:color w:val="000000"/>
        </w:rPr>
        <w:t xml:space="preserve"> = 5, соответствующее ограничению поглощения вкладом рассеянного света от диска.</w:t>
      </w:r>
    </w:p>
    <w:p>
      <w:pPr>
        <w:pStyle w:val="Normal"/>
        <w:jc w:val="both"/>
        <w:rPr>
          <w:color w:val="000000"/>
        </w:rPr>
      </w:pPr>
      <w:r>
        <w:rPr>
          <w:iCs/>
          <w:color w:val="000000"/>
        </w:rPr>
        <w:t xml:space="preserve">Результаты опубликованы: </w:t>
      </w:r>
      <w:r>
        <w:rPr>
          <w:rFonts w:cs="Symbol"/>
          <w:color w:val="000000"/>
        </w:rPr>
        <w:t xml:space="preserve">Гринин В.П., Демидова Т.В. </w:t>
      </w:r>
      <w:r>
        <w:rPr>
          <w:bCs/>
          <w:i/>
          <w:color w:val="000000"/>
        </w:rPr>
        <w:t>Письма в Астрономический журнал</w:t>
      </w:r>
      <w:r>
        <w:rPr>
          <w:iCs/>
          <w:color w:val="000000"/>
        </w:rPr>
        <w:t xml:space="preserve">, 2024, </w:t>
      </w:r>
      <w:r>
        <w:rPr>
          <w:iCs/>
          <w:color w:val="000000"/>
          <w:lang w:val="en-US"/>
        </w:rPr>
        <w:t>T</w:t>
      </w:r>
      <w:r>
        <w:rPr>
          <w:iCs/>
          <w:color w:val="000000"/>
        </w:rPr>
        <w:t xml:space="preserve">. 50, № 3, с. 223–232; </w:t>
      </w:r>
      <w:r>
        <w:rPr>
          <w:rFonts w:cs="Symbol"/>
          <w:bCs/>
          <w:color w:val="000000"/>
        </w:rPr>
        <w:t>Григорьев В.В.,</w:t>
      </w:r>
      <w:r>
        <w:rPr>
          <w:rFonts w:cs="Symbol"/>
          <w:color w:val="000000"/>
        </w:rPr>
        <w:t xml:space="preserve"> </w:t>
      </w:r>
      <w:r>
        <w:rPr>
          <w:rFonts w:cs="Symbol"/>
          <w:bCs/>
          <w:color w:val="000000"/>
        </w:rPr>
        <w:t>Демидова Т.В.</w:t>
      </w:r>
      <w:r>
        <w:rPr>
          <w:rFonts w:cs="Symbol"/>
          <w:b/>
          <w:bCs/>
          <w:color w:val="000000"/>
        </w:rPr>
        <w:t xml:space="preserve"> </w:t>
      </w:r>
      <w:r>
        <w:rPr>
          <w:rFonts w:cs="Symbol"/>
          <w:color w:val="000000"/>
        </w:rPr>
        <w:t xml:space="preserve">Астрономический журнал, 2024, Т. 101, № 10. </w:t>
      </w:r>
    </w:p>
    <w:p>
      <w:pPr>
        <w:pStyle w:val="Normal"/>
        <w:rPr>
          <w:rFonts w:cs="Symbol"/>
          <w:sz w:val="16"/>
          <w:szCs w:val="16"/>
        </w:rPr>
      </w:pPr>
      <w:r>
        <w:rPr>
          <w:rFonts w:cs="Symbol"/>
          <w:sz w:val="16"/>
          <w:szCs w:val="16"/>
        </w:rPr>
      </w:r>
    </w:p>
    <w:p>
      <w:pPr>
        <w:pStyle w:val="Normal"/>
        <w:ind w:right="-284" w:hanging="0"/>
        <w:rPr/>
      </w:pPr>
      <w:r>
        <w:rPr/>
        <w:t>Тема «Звезды на ранних стадиях эволюции: физические характеристики, химический состав и поиск экзопланет» № 122022400189-9, руководитель Любимков Л.С., главный научный сотрудник, доктор физ.-мат. наук.</w:t>
      </w:r>
    </w:p>
    <w:p>
      <w:pPr>
        <w:pStyle w:val="Normal"/>
        <w:rPr/>
      </w:pPr>
      <w:r>
        <w:rPr/>
        <w:t>Направление программы фундаментальных научных исследований (ПФНИ) 2021-2030 1.3.7.3. Физика звезд и компактных объектов</w:t>
      </w:r>
    </w:p>
    <w:p>
      <w:pPr>
        <w:pStyle w:val="Normal"/>
        <w:jc w:val="center"/>
        <w:rPr>
          <w:b/>
          <w:b/>
        </w:rPr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055c"/>
    <w:pPr>
      <w:widowControl w:val="false"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Normal" w:cs="DejaVu Sans"/>
      <w:color w:val="00000A"/>
      <w:kern w:val="0"/>
      <w:sz w:val="24"/>
      <w:szCs w:val="24"/>
      <w:lang w:eastAsia="zh-CN" w:bidi="hi-IN"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446cfa"/>
    <w:rPr>
      <w:rFonts w:ascii="Tahoma" w:hAnsi="Tahoma" w:eastAsia="Source Han Sans CN Normal" w:cs="Mangal"/>
      <w:color w:val="00000A"/>
      <w:sz w:val="16"/>
      <w:szCs w:val="14"/>
      <w:lang w:eastAsia="zh-CN" w:bidi="hi-IN"/>
    </w:rPr>
  </w:style>
  <w:style w:type="character" w:styleId="Style15" w:customStyle="1">
    <w:name w:val="Нет"/>
    <w:qFormat/>
    <w:rsid w:val="005924ed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b4055c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qFormat/>
    <w:rsid w:val="00446cfa"/>
    <w:pPr>
      <w:widowControl/>
      <w:suppressAutoHyphens w:val="false"/>
      <w:spacing w:beforeAutospacing="1" w:afterAutospacing="1"/>
    </w:pPr>
    <w:rPr>
      <w:rFonts w:ascii="Times New Roman" w:hAnsi="Times New Roman" w:eastAsia="Times New Roman" w:cs="Times New Roman"/>
      <w:color w:val="auto"/>
      <w:lang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446cfa"/>
    <w:pPr/>
    <w:rPr>
      <w:rFonts w:ascii="Tahoma" w:hAnsi="Tahoma" w:cs="Mangal"/>
      <w:sz w:val="16"/>
      <w:szCs w:val="14"/>
    </w:rPr>
  </w:style>
  <w:style w:type="paragraph" w:styleId="Normal0" w:customStyle="1">
    <w:name w:val="Normal0"/>
    <w:qFormat/>
    <w:rsid w:val="005924ed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 Unicode MS" w:cs="Arial Unicode MS"/>
      <w:color w:val="000000"/>
      <w:kern w:val="2"/>
      <w:sz w:val="24"/>
      <w:szCs w:val="24"/>
      <w:u w:val="none" w:color="000000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Application>LibreOffice/7.3.7.2$Linux_X86_64 LibreOffice_project/30$Build-2</Application>
  <AppVersion>15.0000</AppVersion>
  <Pages>2</Pages>
  <Words>401</Words>
  <Characters>2484</Characters>
  <CharactersWithSpaces>2878</CharactersWithSpaces>
  <Paragraphs>11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2023-12-14T10:56:00Z</dcterms:created>
  <dc:creator>Николай</dc:creator>
  <dc:description/>
  <dc:language>en-GB</dc:language>
  <cp:lastModifiedBy/>
  <dcterms:modified xsi:type="dcterms:W3CDTF">2025-06-06T12:56:53Z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