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0"/>
        <w:rPr>
          <w:rStyle w:val="Style13"/>
          <w:color w:val="1F2024"/>
        </w:rPr>
      </w:pPr>
      <w:r>
        <w:rPr>
          <w:rStyle w:val="Style13"/>
          <w:i w:val="false"/>
          <w:iCs w:val="false"/>
          <w:color w:val="1F2024"/>
          <w:u w:val="none" w:color="FFFFFF"/>
          <w:lang w:val="ru-RU"/>
        </w:rPr>
        <w:t>Секция 16: Экзопланеты</w:t>
      </w:r>
      <w:r>
        <w:rPr/>
        <w:br/>
        <w:t>Направление ПФНИ</w:t>
      </w:r>
      <w:r>
        <w:rPr>
          <w:lang w:val="ru-RU"/>
        </w:rPr>
        <w:t xml:space="preserve">: </w:t>
      </w:r>
      <w:r>
        <w:rPr>
          <w:rStyle w:val="Style13"/>
          <w:color w:val="1F2024"/>
          <w:lang w:val="en-US"/>
        </w:rPr>
        <w:t xml:space="preserve">1.3.7.5. </w:t>
      </w:r>
      <w:r>
        <w:rPr>
          <w:rStyle w:val="Style13"/>
          <w:color w:val="1F2024"/>
          <w:lang w:val="ru-RU"/>
        </w:rPr>
        <w:t>Планеты и планетные системы</w:t>
      </w:r>
    </w:p>
    <w:p>
      <w:pPr>
        <w:pStyle w:val="Normal0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uppressAutoHyphens w:val="false"/>
        <w:ind w:left="0" w:right="0" w:firstLine="708"/>
        <w:jc w:val="center"/>
        <w:rPr>
          <w:rStyle w:val="Style13"/>
          <w:b/>
          <w:b/>
          <w:bCs/>
          <w:kern w:val="0"/>
          <w:sz w:val="28"/>
          <w:szCs w:val="28"/>
          <w:lang w:val="ru-RU"/>
        </w:rPr>
      </w:pPr>
      <w:r>
        <w:rPr>
          <w:rStyle w:val="Style13"/>
          <w:b/>
          <w:bCs/>
          <w:kern w:val="0"/>
          <w:sz w:val="28"/>
          <w:szCs w:val="28"/>
          <w:lang w:val="ru-RU"/>
        </w:rPr>
        <w:t>Влияние вспышечной активности звезды на структуру водородно-гелиевой верхней атмосферы горячего юпитера</w:t>
      </w:r>
    </w:p>
    <w:p>
      <w:pPr>
        <w:pStyle w:val="Normal0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uppressAutoHyphens w:val="false"/>
        <w:jc w:val="center"/>
        <w:rPr>
          <w:rStyle w:val="Style13"/>
          <w:kern w:val="0"/>
          <w:lang w:val="ru-RU"/>
        </w:rPr>
      </w:pPr>
      <w:r>
        <w:rPr>
          <w:rStyle w:val="Style13"/>
          <w:kern w:val="0"/>
          <w:lang w:val="ru-RU"/>
        </w:rPr>
        <w:t>А.Г. Жилкин, Ю.Г. Гладышева, В.И. Шематович, Г.Н. Цуриков, Д.В. Бисикало (</w:t>
      </w:r>
      <w:r>
        <w:rPr>
          <w:lang w:val="ru-RU"/>
        </w:rPr>
        <w:t>Институт астрономии РАН, Москва, Россия</w:t>
      </w:r>
      <w:r>
        <w:rPr>
          <w:rStyle w:val="Style13"/>
          <w:kern w:val="0"/>
          <w:lang w:val="ru-RU"/>
        </w:rPr>
        <w:t>)</w:t>
      </w:r>
    </w:p>
    <w:p>
      <w:pPr>
        <w:pStyle w:val="Normal0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uppressAutoHyphens w:val="false"/>
        <w:ind w:left="0" w:right="0" w:firstLine="708"/>
        <w:jc w:val="both"/>
        <w:rPr>
          <w:rStyle w:val="Style13"/>
          <w:kern w:val="0"/>
          <w:lang w:val="ru-RU"/>
        </w:rPr>
      </w:pPr>
      <w:r>
        <w:rPr>
          <w:rStyle w:val="Style13"/>
          <w:kern w:val="0"/>
          <w:lang w:val="ru-RU"/>
        </w:rPr>
        <w:t>Одной из наиболее актуальных задач в экзопланетных исследованиях является определение параметров космической погоды у звезд солнечного типа из транзитных наблюдений атмосфер горячих экзопланет. Информация о характеристиках звездного ветра, а также вспышках звезд крайне важна для оценки устойчивости атмосфер экзопланет, а также получения информации о экстремальных проявлениях космической погоды, возможных у звезд солнечного типа. Получить данную информацию непосредственно из наблюдений очень сложно, поэтому нами предложен косвенный способ оценки параметров звездных вспышек, путем наблюдения отклика атмосферы горячих экзопланет, находящихся вблизи звезды.</w:t>
      </w:r>
    </w:p>
    <w:p>
      <w:pPr>
        <w:pStyle w:val="Normal0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uppressAutoHyphens w:val="false"/>
        <w:ind w:left="0" w:right="0" w:firstLine="708"/>
        <w:jc w:val="both"/>
        <w:rPr>
          <w:rStyle w:val="Style13"/>
          <w:kern w:val="0"/>
          <w:lang w:val="ru-RU"/>
        </w:rPr>
      </w:pPr>
      <w:r>
        <w:rPr>
          <w:rStyle w:val="Style13"/>
          <w:kern w:val="0"/>
          <w:lang w:val="ru-RU"/>
        </w:rPr>
        <w:t>С помощью разработанной аэрономической модели на примере типичного горячего юпитера показано, что вспышка родительской звезды приводит к дополнительному локальному нагреву верхней атмосферы экзопланеты. В результате возникает динамический отклик, приводящий к образованию двух ударных волн и заметному увеличению оттока атмосферы в течении 12 часов после вспышки, а характерный период релаксации к исходному состоянию атмосферы составляет порядка суток. По результатам расчетов было показано, что, в случае сильных вспышек, помимо значительного локального нагрева верхней атмосферы возможно также существенное увеличение концентрации водорода в этих областях  в первые часы после вспышки (см. Рисунок 1). Указанные эффекты могут быть наблюдаемы с помощью планируемой к запуску космической обсерватории Спектр-УФ.</w:t>
      </w:r>
    </w:p>
    <w:p>
      <w:pPr>
        <w:pStyle w:val="Normal0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uppressAutoHyphens w:val="false"/>
        <w:jc w:val="center"/>
        <w:rPr>
          <w:rStyle w:val="Style13"/>
          <w:rFonts w:ascii="Cambria" w:hAnsi="Cambria" w:eastAsia="Cambria" w:cs="Cambria"/>
          <w:kern w:val="0"/>
          <w:lang w:val="ru-RU"/>
        </w:rPr>
      </w:pPr>
      <w:r>
        <w:rPr/>
        <w:drawing>
          <wp:inline distT="0" distB="0" distL="0" distR="0">
            <wp:extent cx="3495040" cy="2558415"/>
            <wp:effectExtent l="0" t="0" r="0" b="0"/>
            <wp:docPr id="1" name="officeArt object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0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uppressAutoHyphens w:val="false"/>
        <w:jc w:val="both"/>
        <w:rPr>
          <w:rStyle w:val="Style13"/>
          <w:kern w:val="0"/>
          <w:sz w:val="22"/>
          <w:szCs w:val="22"/>
        </w:rPr>
      </w:pPr>
      <w:r>
        <w:rPr>
          <w:rStyle w:val="Style13"/>
          <w:kern w:val="0"/>
          <w:sz w:val="22"/>
          <w:szCs w:val="22"/>
          <w:lang w:val="ru-RU"/>
        </w:rPr>
        <w:t>Рис. 1 - Профили отношения концентрации атомарного водорода n</w:t>
      </w:r>
      <w:r>
        <w:rPr>
          <w:rStyle w:val="Style13"/>
          <w:kern w:val="0"/>
          <w:sz w:val="22"/>
          <w:szCs w:val="22"/>
          <w:vertAlign w:val="subscript"/>
          <w:lang w:val="ru-RU"/>
        </w:rPr>
        <w:t>H</w:t>
      </w:r>
      <w:r>
        <w:rPr>
          <w:rStyle w:val="Style13"/>
          <w:kern w:val="0"/>
          <w:sz w:val="22"/>
          <w:szCs w:val="22"/>
          <w:lang w:val="ru-RU"/>
        </w:rPr>
        <w:t xml:space="preserve"> текущего состояния атмосферы к соответствующему значению до вспышки n</w:t>
      </w:r>
      <w:r>
        <w:rPr>
          <w:rStyle w:val="Style13"/>
          <w:kern w:val="0"/>
          <w:sz w:val="22"/>
          <w:szCs w:val="22"/>
          <w:vertAlign w:val="superscript"/>
          <w:lang w:val="ru-RU"/>
        </w:rPr>
        <w:t>0</w:t>
      </w:r>
      <w:r>
        <w:rPr>
          <w:rStyle w:val="Style13"/>
          <w:kern w:val="0"/>
          <w:sz w:val="22"/>
          <w:szCs w:val="22"/>
          <w:vertAlign w:val="subscript"/>
          <w:lang w:val="ru-RU"/>
        </w:rPr>
        <w:t>H</w:t>
      </w:r>
      <w:r>
        <w:rPr>
          <w:rStyle w:val="Style13"/>
          <w:kern w:val="0"/>
          <w:sz w:val="22"/>
          <w:szCs w:val="22"/>
          <w:lang w:val="ru-RU"/>
        </w:rPr>
        <w:t xml:space="preserve"> для сильной повторной вспышки (увеличение </w:t>
      </w:r>
      <w:r>
        <w:rPr>
          <w:rStyle w:val="Style13"/>
          <w:kern w:val="0"/>
          <w:sz w:val="22"/>
          <w:szCs w:val="22"/>
          <w:lang w:val="en-US"/>
        </w:rPr>
        <w:t>XUV</w:t>
      </w:r>
      <w:r>
        <w:rPr>
          <w:rStyle w:val="Style13"/>
          <w:kern w:val="0"/>
          <w:sz w:val="22"/>
          <w:szCs w:val="22"/>
          <w:lang w:val="ru-RU"/>
        </w:rPr>
        <w:t xml:space="preserve"> потока сначала в 100, а затем в 1000 раз).</w:t>
      </w:r>
    </w:p>
    <w:p>
      <w:pPr>
        <w:pStyle w:val="Normal0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uppressAutoHyphens w:val="false"/>
        <w:jc w:val="both"/>
        <w:rPr>
          <w:rStyle w:val="Style13"/>
          <w:i/>
          <w:i/>
          <w:iCs/>
          <w:color w:val="1F2024"/>
          <w:u w:val="single" w:color="FFFFFF"/>
          <w:lang w:val="ru-RU"/>
        </w:rPr>
      </w:pPr>
      <w:r>
        <w:rPr>
          <w:rStyle w:val="Style13"/>
          <w:rFonts w:ascii="Cambria" w:hAnsi="Cambria"/>
          <w:kern w:val="0"/>
          <w:lang w:val="ru-RU"/>
        </w:rPr>
        <w:t xml:space="preserve">Публикации: </w:t>
      </w:r>
      <w:r>
        <w:rPr>
          <w:rStyle w:val="Style13"/>
          <w:i/>
          <w:iCs/>
          <w:kern w:val="0"/>
          <w:lang w:val="ru-RU"/>
        </w:rPr>
        <w:t>А.Г. Жилкин, Ю.Г. Гладышева, В.И. Шематович, Г.Н. Цуриков, Д.В. Бисикало, Влияние вспышечной активности звезды на структуру водородно-гелиевой верхней атмосферы горячего юпитера а // Астрономический журнал, 2024, том 101, № 9, с. 5–18.</w:t>
      </w:r>
    </w:p>
    <w:p>
      <w:pPr>
        <w:pStyle w:val="Normal0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uppressAutoHyphens w:val="false"/>
        <w:rPr>
          <w:rStyle w:val="Style13"/>
          <w:i w:val="false"/>
          <w:i w:val="false"/>
          <w:iCs w:val="false"/>
          <w:color w:val="1F2024"/>
          <w:u w:val="none" w:color="FFFFFF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>Работа выполнена в рамках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en-US"/>
        </w:rPr>
        <w:t xml:space="preserve"> НИР ИНАСАН “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4"/>
          <w:szCs w:val="24"/>
          <w:u w:val="none" w:color="FFFFFF"/>
          <w:lang w:val="en-US"/>
        </w:rPr>
        <w:t>Численное моделирование течений в околозвездных оболочках и атмосферах экзопланет“ (Шифр - ЭКЗОПЛАНЕТЫ) (FFWN-2024-0006).</w:t>
      </w:r>
    </w:p>
    <w:p>
      <w:pPr>
        <w:pStyle w:val="Normal0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uppressAutoHyphens w:val="false"/>
        <w:rPr>
          <w:rStyle w:val="Style13"/>
          <w:i w:val="false"/>
          <w:i w:val="false"/>
          <w:iCs w:val="false"/>
          <w:outline w:val="false"/>
          <w:color w:val="1F2024"/>
          <w:u w:val="none" w:color="FFFFFF"/>
          <w:lang w:val="ru-RU"/>
          <w14:textFill>
            <w14:solidFill>
              <w14:srgbClr w14:val="1F2024"/>
            </w14:solidFill>
          </w14:textFill>
        </w:rPr>
      </w:pPr>
      <w:r>
        <w:rPr>
          <w:lang w:val="ru-RU"/>
        </w:rPr>
      </w:r>
    </w:p>
    <w:p>
      <w:pPr>
        <w:pStyle w:val="Normal0"/>
        <w:widowControl w:val="false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both"/>
        <w:rPr>
          <w:rStyle w:val="Style13"/>
          <w:i/>
          <w:i/>
          <w:iCs/>
          <w:outline w:val="false"/>
          <w:color w:val="00000A"/>
          <w:kern w:val="0"/>
          <w:u w:val="single" w:color="00000A"/>
          <w:lang w:val="ru-RU"/>
          <w14:textFill>
            <w14:solidFill>
              <w14:srgbClr w14:val="00000A"/>
            </w14:solidFill>
          </w14:textFill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55EBB66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officeArt object" descr="Прямоугольник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Heading4">
    <w:name w:val="Heading 4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character" w:styleId="Style13">
    <w:name w:val="Нет"/>
    <w:qFormat/>
    <w:rPr/>
  </w:style>
  <w:style w:type="character" w:styleId="Hyperlink0">
    <w:name w:val="Hyperlink.0"/>
    <w:basedOn w:val="Style13"/>
    <w:qFormat/>
    <w:rPr>
      <w:rFonts w:ascii="Times New Roman" w:hAnsi="Times New Roman" w:eastAsia="Times New Roman" w:cs="Times New Roman"/>
      <w:outline w:val="false"/>
      <w:color w:val="000080"/>
      <w:u w:val="single" w:color="000080"/>
      <w14:textFill>
        <w14:solidFill>
          <w14:srgbClr w14:val="000080"/>
        </w14:solidFill>
      </w14:textFill>
    </w:rPr>
  </w:style>
  <w:style w:type="character" w:styleId="Hyperlink1">
    <w:name w:val="Hyperlink.1"/>
    <w:basedOn w:val="Style13"/>
    <w:qFormat/>
    <w:rPr>
      <w:rFonts w:ascii="Times New Roman" w:hAnsi="Times New Roman" w:eastAsia="Times New Roman" w:cs="Times New Roman"/>
      <w:b/>
      <w:bCs/>
      <w:outline w:val="false"/>
      <w:color w:val="000000"/>
      <w:kern w:val="0"/>
      <w:u w:val="none" w:color="000000"/>
      <w:lang w:val="ru-RU"/>
      <w14:textFill>
        <w14:solidFill>
          <w14:srgbClr w14:val="000000"/>
        </w14:solidFill>
      </w14:textFill>
    </w:rPr>
  </w:style>
  <w:style w:type="character" w:styleId="Hyperlink2">
    <w:name w:val="Hyperlink.2"/>
    <w:basedOn w:val="Style13"/>
    <w:qFormat/>
    <w:rPr>
      <w:rFonts w:ascii="Times New Roman" w:hAnsi="Times New Roman" w:eastAsia="Times New Roman" w:cs="Times New Roman"/>
      <w:outline w:val="false"/>
      <w:color w:val="000000"/>
      <w:kern w:val="0"/>
      <w:u w:val="none" w:color="000000"/>
      <w:lang w:val="ru-RU"/>
      <w14:textFill>
        <w14:solidFill>
          <w14:srgbClr w14:val="000000"/>
        </w14:solidFill>
      </w14:textFill>
    </w:rPr>
  </w:style>
  <w:style w:type="character" w:styleId="Hyperlink3">
    <w:name w:val="Hyperlink.3"/>
    <w:basedOn w:val="Style13"/>
    <w:qFormat/>
    <w:rPr>
      <w:rFonts w:ascii="Times New Roman" w:hAnsi="Times New Roman" w:eastAsia="Times New Roman" w:cs="Times New Roman"/>
      <w:i/>
      <w:iCs/>
    </w:rPr>
  </w:style>
  <w:style w:type="character" w:styleId="Hyperlink4">
    <w:name w:val="Hyperlink.4"/>
    <w:basedOn w:val="Style13"/>
    <w:qFormat/>
    <w:rPr>
      <w:rFonts w:ascii="Times New Roman" w:hAnsi="Times New Roman" w:eastAsia="Times New Roman" w:cs="Times New Roman"/>
      <w:i/>
      <w:iCs/>
      <w:outline w:val="false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Style14">
    <w:name w:val="Ссылка"/>
    <w:qFormat/>
    <w:rPr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5">
    <w:name w:val="Hyperlink.5"/>
    <w:basedOn w:val="Style14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5">
    <w:name w:val="Колонтитулы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9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en-US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0">
    <w:name w:val="Normal0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en-US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formattedText">
    <w:name w:val="Preformatted Text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ourier New" w:hAnsi="Courier New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0"/>
      <w:sz w:val="20"/>
      <w:szCs w:val="20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Style16">
    <w:name w:val="По умолчанию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ru-RU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numbering" w:styleId="Style17">
    <w:name w:val="Пункты"/>
    <w:qFormat/>
  </w:style>
  <w:style w:type="numbering" w:styleId="1">
    <w:name w:val="Импортированный стиль 1"/>
    <w:qFormat/>
  </w:style>
  <w:style w:type="numbering" w:styleId="2">
    <w:name w:val="Импортированный стиль 2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303</Words>
  <Characters>2101</Characters>
  <CharactersWithSpaces>2396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2024-12-11T10:40:57Z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