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>Astronomy Reports, 2025, Vol. 69, No. 5, pp. 433–456.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Four Years of Wide-Field Search for Nanosecond Optical Transients with the TAIGA-HiSCORE Cherenkov Array</w:t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start"/>
        <w:rPr/>
      </w:pPr>
      <w:r>
        <w:rPr/>
        <w:t>A. D. Panov</w:t>
      </w:r>
      <w:r>
        <w:rPr>
          <w:vertAlign w:val="superscript"/>
        </w:rPr>
        <w:t>a</w:t>
      </w:r>
      <w:r>
        <w:rPr/>
        <w:t>, I. I. Astapov</w:t>
      </w:r>
      <w:r>
        <w:rPr>
          <w:vertAlign w:val="superscript"/>
        </w:rPr>
        <w:t>b</w:t>
      </w:r>
      <w:r>
        <w:rPr/>
        <w:t>, G. M. Beskin</w:t>
      </w:r>
      <w:r>
        <w:rPr>
          <w:vertAlign w:val="superscript"/>
        </w:rPr>
        <w:t>c</w:t>
      </w:r>
      <w:r>
        <w:rPr/>
        <w:t>, P. A. Bezyazykov</w:t>
      </w:r>
      <w:r>
        <w:rPr>
          <w:vertAlign w:val="superscript"/>
        </w:rPr>
        <w:t>d</w:t>
      </w:r>
      <w:r>
        <w:rPr/>
        <w:t>, A. V. Blinov</w:t>
      </w:r>
      <w:r>
        <w:rPr>
          <w:vertAlign w:val="superscript"/>
        </w:rPr>
        <w:t>e</w:t>
      </w:r>
      <w:r>
        <w:rPr/>
        <w:t>, E. A. Bonvech</w:t>
      </w:r>
      <w:r>
        <w:rPr>
          <w:vertAlign w:val="superscript"/>
        </w:rPr>
        <w:t>a</w:t>
      </w:r>
      <w:r>
        <w:rPr/>
        <w:t>, A. N. Borodin</w:t>
      </w:r>
      <w:r>
        <w:rPr>
          <w:vertAlign w:val="superscript"/>
        </w:rPr>
        <w:t xml:space="preserve"> e</w:t>
      </w:r>
      <w:r>
        <w:rPr/>
        <w:t>, N. M. Budnev</w:t>
      </w:r>
      <w:r>
        <w:rPr>
          <w:vertAlign w:val="superscript"/>
        </w:rPr>
        <w:t>d</w:t>
      </w:r>
      <w:r>
        <w:rPr/>
        <w:t>, A. V. Bulan</w:t>
      </w:r>
      <w:r>
        <w:rPr>
          <w:vertAlign w:val="superscript"/>
        </w:rPr>
        <w:t>a</w:t>
      </w:r>
      <w:r>
        <w:rPr/>
        <w:t>, P. Busygina</w:t>
      </w:r>
      <w:r>
        <w:rPr>
          <w:vertAlign w:val="superscript"/>
        </w:rPr>
        <w:t>d</w:t>
      </w:r>
      <w:r>
        <w:rPr/>
        <w:t>, D. V. Chernov</w:t>
      </w:r>
      <w:r>
        <w:rPr>
          <w:vertAlign w:val="superscript"/>
        </w:rPr>
        <w:t>a</w:t>
      </w:r>
      <w:r>
        <w:rPr/>
        <w:t>, A. Chiavassa</w:t>
      </w:r>
      <w:r>
        <w:rPr>
          <w:vertAlign w:val="superscript"/>
        </w:rPr>
        <w:t>f</w:t>
      </w:r>
      <w:r>
        <w:rPr/>
        <w:t>, A. N. Dyachok</w:t>
      </w:r>
      <w:r>
        <w:rPr>
          <w:vertAlign w:val="superscript"/>
        </w:rPr>
        <w:t>d</w:t>
      </w:r>
      <w:r>
        <w:rPr/>
        <w:t>, A. R. Gafarov</w:t>
      </w:r>
      <w:r>
        <w:rPr>
          <w:vertAlign w:val="superscript"/>
        </w:rPr>
        <w:t>d</w:t>
      </w:r>
      <w:r>
        <w:rPr/>
        <w:t>, A. Yu. Garmash</w:t>
      </w:r>
      <w:r>
        <w:rPr>
          <w:vertAlign w:val="superscript"/>
        </w:rPr>
        <w:t>g,h</w:t>
      </w:r>
      <w:r>
        <w:rPr/>
        <w:t>, V. M. Grebenyuk</w:t>
      </w:r>
      <w:r>
        <w:rPr>
          <w:vertAlign w:val="superscript"/>
        </w:rPr>
        <w:t>e</w:t>
      </w:r>
      <w:r>
        <w:rPr/>
        <w:t>, E. O. Gress</w:t>
      </w:r>
      <w:r>
        <w:rPr>
          <w:vertAlign w:val="superscript"/>
        </w:rPr>
        <w:t>d</w:t>
      </w:r>
      <w:r>
        <w:rPr/>
        <w:t>, O. A. Gress</w:t>
      </w:r>
      <w:r>
        <w:rPr>
          <w:vertAlign w:val="superscript"/>
        </w:rPr>
        <w:t>d</w:t>
      </w:r>
      <w:r>
        <w:rPr/>
        <w:t>, T. I. Gress</w:t>
      </w:r>
      <w:r>
        <w:rPr>
          <w:vertAlign w:val="superscript"/>
        </w:rPr>
        <w:t>d</w:t>
      </w:r>
      <w:r>
        <w:rPr/>
        <w:t>, A. A. Grinyuk</w:t>
      </w:r>
      <w:r>
        <w:rPr>
          <w:vertAlign w:val="superscript"/>
        </w:rPr>
        <w:t xml:space="preserve"> e</w:t>
      </w:r>
      <w:r>
        <w:rPr/>
        <w:t>, O. G. Grishin</w:t>
      </w:r>
      <w:r>
        <w:rPr>
          <w:vertAlign w:val="superscript"/>
        </w:rPr>
        <w:t>d</w:t>
      </w:r>
      <w:r>
        <w:rPr/>
        <w:t>, A. L. Ivanova</w:t>
      </w:r>
      <w:r>
        <w:rPr>
          <w:vertAlign w:val="superscript"/>
        </w:rPr>
        <w:t>d</w:t>
      </w:r>
      <w:r>
        <w:rPr/>
        <w:t>, A. D. Ivanova</w:t>
      </w:r>
      <w:r>
        <w:rPr>
          <w:vertAlign w:val="superscript"/>
        </w:rPr>
        <w:t>d</w:t>
      </w:r>
      <w:r>
        <w:rPr/>
        <w:t>, M. A. Ilyushin</w:t>
      </w:r>
      <w:r>
        <w:rPr>
          <w:vertAlign w:val="superscript"/>
        </w:rPr>
        <w:t>d</w:t>
      </w:r>
      <w:r>
        <w:rPr/>
        <w:t>, N. N. Kalmykov</w:t>
      </w:r>
      <w:r>
        <w:rPr>
          <w:vertAlign w:val="superscript"/>
        </w:rPr>
        <w:t>a</w:t>
      </w:r>
      <w:r>
        <w:rPr/>
        <w:t>, V. V. Kindin</w:t>
      </w:r>
      <w:r>
        <w:rPr>
          <w:vertAlign w:val="superscript"/>
        </w:rPr>
        <w:t>d</w:t>
      </w:r>
      <w:r>
        <w:rPr/>
        <w:t>, S. N. Kiryuhin</w:t>
      </w:r>
      <w:r>
        <w:rPr>
          <w:vertAlign w:val="superscript"/>
        </w:rPr>
        <w:t>d</w:t>
      </w:r>
      <w:r>
        <w:rPr/>
        <w:t>, R. P. Kokoulin</w:t>
      </w:r>
      <w:r>
        <w:rPr>
          <w:vertAlign w:val="superscript"/>
        </w:rPr>
        <w:t>b</w:t>
      </w:r>
      <w:r>
        <w:rPr/>
        <w:t>, K. G. Kompaniets</w:t>
      </w:r>
      <w:r>
        <w:rPr>
          <w:vertAlign w:val="superscript"/>
        </w:rPr>
        <w:t>d</w:t>
      </w:r>
      <w:r>
        <w:rPr/>
        <w:t>, E. E. Korosteleva</w:t>
      </w:r>
      <w:r>
        <w:rPr>
          <w:vertAlign w:val="superscript"/>
        </w:rPr>
        <w:t>a</w:t>
      </w:r>
      <w:r>
        <w:rPr/>
        <w:t>, V. A. Kozhin</w:t>
      </w:r>
      <w:r>
        <w:rPr>
          <w:vertAlign w:val="superscript"/>
        </w:rPr>
        <w:t>a</w:t>
      </w:r>
      <w:r>
        <w:rPr/>
        <w:t>, E. A. Kravchenko</w:t>
      </w:r>
      <w:r>
        <w:rPr>
          <w:vertAlign w:val="superscript"/>
        </w:rPr>
        <w:t>g,h</w:t>
      </w:r>
      <w:r>
        <w:rPr/>
        <w:t>, L. A. Kuzmichev</w:t>
      </w:r>
      <w:r>
        <w:rPr>
          <w:vertAlign w:val="superscript"/>
        </w:rPr>
        <w:t>a</w:t>
      </w:r>
      <w:r>
        <w:rPr/>
        <w:t>, A. P. Kryukov</w:t>
      </w:r>
      <w:r>
        <w:rPr>
          <w:vertAlign w:val="superscript"/>
        </w:rPr>
        <w:t>a</w:t>
      </w:r>
      <w:r>
        <w:rPr/>
        <w:t>, A. A. Lagutin</w:t>
      </w:r>
      <w:r>
        <w:rPr>
          <w:vertAlign w:val="superscript"/>
        </w:rPr>
        <w:t>i</w:t>
      </w:r>
      <w:r>
        <w:rPr/>
        <w:t>, M. V. Lavrova</w:t>
      </w:r>
      <w:r>
        <w:rPr>
          <w:vertAlign w:val="superscript"/>
        </w:rPr>
        <w:t>e</w:t>
      </w:r>
      <w:r>
        <w:rPr/>
        <w:t>, Yu. Lemeshev</w:t>
      </w:r>
      <w:r>
        <w:rPr>
          <w:vertAlign w:val="superscript"/>
        </w:rPr>
        <w:t>d</w:t>
      </w:r>
      <w:r>
        <w:rPr/>
        <w:t xml:space="preserve"> , B. K. Lubsandorzhiev</w:t>
      </w:r>
      <w:r>
        <w:rPr>
          <w:vertAlign w:val="superscript"/>
        </w:rPr>
        <w:t>j</w:t>
      </w:r>
      <w:r>
        <w:rPr/>
        <w:t>, N. B. Lubsandorzhiev</w:t>
      </w:r>
      <w:r>
        <w:rPr>
          <w:vertAlign w:val="superscript"/>
        </w:rPr>
        <w:t>a</w:t>
      </w:r>
      <w:r>
        <w:rPr/>
        <w:t>, A. D. Lukanov</w:t>
      </w:r>
      <w:r>
        <w:rPr>
          <w:vertAlign w:val="superscript"/>
        </w:rPr>
        <w:t>j</w:t>
      </w:r>
      <w:r>
        <w:rPr/>
        <w:t>, S. D. Malakhov</w:t>
      </w:r>
      <w:r>
        <w:rPr>
          <w:vertAlign w:val="superscript"/>
        </w:rPr>
        <w:t>d</w:t>
      </w:r>
      <w:r>
        <w:rPr/>
        <w:t>, R. R. Mirgazov</w:t>
      </w:r>
      <w:r>
        <w:rPr>
          <w:vertAlign w:val="superscript"/>
        </w:rPr>
        <w:t>d</w:t>
      </w:r>
      <w:r>
        <w:rPr/>
        <w:t>, R. D. Monkhoev</w:t>
      </w:r>
      <w:r>
        <w:rPr>
          <w:vertAlign w:val="superscript"/>
        </w:rPr>
        <w:t>d</w:t>
      </w:r>
      <w:r>
        <w:rPr/>
        <w:t>, E. A. Okyneva</w:t>
      </w:r>
      <w:r>
        <w:rPr>
          <w:vertAlign w:val="superscript"/>
        </w:rPr>
        <w:t>a</w:t>
      </w:r>
      <w:r>
        <w:rPr/>
        <w:t>, E. A. Osipova</w:t>
      </w:r>
      <w:r>
        <w:rPr>
          <w:vertAlign w:val="superscript"/>
        </w:rPr>
        <w:t>a</w:t>
      </w:r>
      <w:r>
        <w:rPr/>
        <w:t>, A. L. Pakhorukov</w:t>
      </w:r>
      <w:r>
        <w:rPr>
          <w:vertAlign w:val="superscript"/>
        </w:rPr>
        <w:t>d</w:t>
      </w:r>
      <w:r>
        <w:rPr/>
        <w:t>, A. Pan</w:t>
      </w:r>
      <w:r>
        <w:rPr>
          <w:vertAlign w:val="superscript"/>
        </w:rPr>
        <w:t>e</w:t>
      </w:r>
      <w:r>
        <w:rPr/>
        <w:t>, L. V. Pankov</w:t>
      </w:r>
      <w:r>
        <w:rPr>
          <w:vertAlign w:val="superscript"/>
        </w:rPr>
        <w:t>d</w:t>
      </w:r>
      <w:r>
        <w:rPr/>
        <w:t>, A. A. Petrukhin</w:t>
      </w:r>
      <w:r>
        <w:rPr>
          <w:vertAlign w:val="superscript"/>
        </w:rPr>
        <w:t>b</w:t>
      </w:r>
      <w:r>
        <w:rPr/>
        <w:t>, D. A. Podgrudkova</w:t>
      </w:r>
      <w:r>
        <w:rPr>
          <w:vertAlign w:val="superscript"/>
        </w:rPr>
        <w:t>a</w:t>
      </w:r>
      <w:r>
        <w:rPr/>
        <w:t>, I. A. Poddubny</w:t>
      </w:r>
      <w:r>
        <w:rPr>
          <w:vertAlign w:val="superscript"/>
        </w:rPr>
        <w:t>d</w:t>
      </w:r>
      <w:r>
        <w:rPr/>
        <w:t>, E. G. Popova</w:t>
      </w:r>
      <w:r>
        <w:rPr>
          <w:vertAlign w:val="superscript"/>
        </w:rPr>
        <w:t>a</w:t>
      </w:r>
      <w:r>
        <w:rPr/>
        <w:t>, E. B. Postnikov</w:t>
      </w:r>
      <w:r>
        <w:rPr>
          <w:vertAlign w:val="superscript"/>
        </w:rPr>
        <w:t>a</w:t>
      </w:r>
      <w:r>
        <w:rPr/>
        <w:t>, V. V. Prosin</w:t>
      </w:r>
      <w:r>
        <w:rPr>
          <w:vertAlign w:val="superscript"/>
        </w:rPr>
        <w:t>a</w:t>
      </w:r>
      <w:r>
        <w:rPr/>
        <w:t>, A. A. Pushnin</w:t>
      </w:r>
      <w:r>
        <w:rPr>
          <w:vertAlign w:val="superscript"/>
        </w:rPr>
        <w:t>d</w:t>
      </w:r>
      <w:r>
        <w:rPr/>
        <w:t>, R. I. Raikin</w:t>
      </w:r>
      <w:r>
        <w:rPr>
          <w:vertAlign w:val="superscript"/>
        </w:rPr>
        <w:t>i</w:t>
      </w:r>
      <w:r>
        <w:rPr/>
        <w:t>, A. Yu. Razumov</w:t>
      </w:r>
      <w:r>
        <w:rPr>
          <w:vertAlign w:val="superscript"/>
        </w:rPr>
        <w:t>a</w:t>
      </w:r>
      <w:r>
        <w:rPr/>
        <w:t>, E. Rjabov</w:t>
      </w:r>
      <w:r>
        <w:rPr>
          <w:vertAlign w:val="superscript"/>
        </w:rPr>
        <w:t>d</w:t>
      </w:r>
      <w:r>
        <w:rPr/>
        <w:t>, G. I. Rubtsov</w:t>
      </w:r>
      <w:r>
        <w:rPr>
          <w:vertAlign w:val="superscript"/>
        </w:rPr>
        <w:t>j</w:t>
      </w:r>
      <w:r>
        <w:rPr/>
        <w:t>, V. S. Samoliga</w:t>
      </w:r>
      <w:r>
        <w:rPr>
          <w:vertAlign w:val="superscript"/>
        </w:rPr>
        <w:t>d</w:t>
      </w:r>
      <w:r>
        <w:rPr/>
        <w:t>, A. V. Shaikovsky</w:t>
      </w:r>
      <w:r>
        <w:rPr>
          <w:vertAlign w:val="superscript"/>
        </w:rPr>
        <w:t>e</w:t>
      </w:r>
      <w:r>
        <w:rPr/>
        <w:t>, A. Yu. Sidorenkov</w:t>
      </w:r>
      <w:r>
        <w:rPr>
          <w:vertAlign w:val="superscript"/>
        </w:rPr>
        <w:t>j</w:t>
      </w:r>
      <w:r>
        <w:rPr/>
        <w:t>, A. A. Silaev</w:t>
      </w:r>
      <w:r>
        <w:rPr>
          <w:vertAlign w:val="superscript"/>
        </w:rPr>
        <w:t xml:space="preserve"> a</w:t>
      </w:r>
      <w:r>
        <w:rPr/>
        <w:t>, A. A. Silaev (junior)</w:t>
      </w:r>
      <w:r>
        <w:rPr>
          <w:vertAlign w:val="superscript"/>
        </w:rPr>
        <w:t>a</w:t>
      </w:r>
      <w:r>
        <w:rPr/>
        <w:t>, A. V. Skurikhin</w:t>
      </w:r>
      <w:r>
        <w:rPr>
          <w:vertAlign w:val="superscript"/>
        </w:rPr>
        <w:t>a</w:t>
      </w:r>
      <w:r>
        <w:rPr/>
        <w:t>, I. Satyshev</w:t>
      </w:r>
      <w:r>
        <w:rPr>
          <w:vertAlign w:val="superscript"/>
        </w:rPr>
        <w:t>e</w:t>
      </w:r>
      <w:r>
        <w:rPr/>
        <w:t>, A. V. Sokolov</w:t>
      </w:r>
      <w:r>
        <w:rPr>
          <w:vertAlign w:val="superscript"/>
        </w:rPr>
        <w:t>g,h</w:t>
      </w:r>
      <w:r>
        <w:rPr/>
        <w:t>, L. G. Sveshnikova</w:t>
      </w:r>
      <w:r>
        <w:rPr>
          <w:vertAlign w:val="superscript"/>
        </w:rPr>
        <w:t>a</w:t>
      </w:r>
      <w:r>
        <w:rPr/>
        <w:t>, V. A. Tabolenko</w:t>
      </w:r>
      <w:r>
        <w:rPr>
          <w:vertAlign w:val="superscript"/>
        </w:rPr>
        <w:t>d</w:t>
      </w:r>
      <w:r>
        <w:rPr/>
        <w:t>, A. B. Tanaev</w:t>
      </w:r>
      <w:r>
        <w:rPr>
          <w:vertAlign w:val="superscript"/>
        </w:rPr>
        <w:t>d</w:t>
      </w:r>
      <w:r>
        <w:rPr/>
        <w:t>, M. Ternovoy</w:t>
      </w:r>
      <w:r>
        <w:rPr>
          <w:vertAlign w:val="superscript"/>
        </w:rPr>
        <w:t>d</w:t>
      </w:r>
      <w:r>
        <w:rPr/>
        <w:t>, L. G. Tkachev</w:t>
      </w:r>
      <w:r>
        <w:rPr>
          <w:vertAlign w:val="superscript"/>
        </w:rPr>
        <w:t>e,k</w:t>
      </w:r>
      <w:r>
        <w:rPr/>
        <w:t>, N. Ushakov</w:t>
      </w:r>
      <w:r>
        <w:rPr>
          <w:vertAlign w:val="superscript"/>
        </w:rPr>
        <w:t>j</w:t>
      </w:r>
      <w:r>
        <w:rPr/>
        <w:t>, P. A. Volchugov</w:t>
      </w:r>
      <w:r>
        <w:rPr>
          <w:vertAlign w:val="superscript"/>
        </w:rPr>
        <w:t>a</w:t>
      </w:r>
      <w:r>
        <w:rPr/>
        <w:t>, N. V. Volkov</w:t>
      </w:r>
      <w:r>
        <w:rPr>
          <w:vertAlign w:val="superscript"/>
        </w:rPr>
        <w:t>i</w:t>
      </w:r>
      <w:r>
        <w:rPr/>
        <w:t>, D. M. Voronin</w:t>
      </w:r>
      <w:r>
        <w:rPr>
          <w:vertAlign w:val="superscript"/>
        </w:rPr>
        <w:t>j</w:t>
      </w:r>
      <w:r>
        <w:rPr/>
        <w:t>, I. I. Yashin</w:t>
      </w:r>
      <w:r>
        <w:rPr>
          <w:vertAlign w:val="superscript"/>
        </w:rPr>
        <w:t>b</w:t>
      </w:r>
      <w:r>
        <w:rPr/>
        <w:t>, A. V. Zagorodnikov</w:t>
      </w:r>
      <w:r>
        <w:rPr>
          <w:vertAlign w:val="superscript"/>
        </w:rPr>
        <w:t>d</w:t>
      </w:r>
      <w:r>
        <w:rPr/>
        <w:t>, D. P. Zhurov</w:t>
      </w:r>
      <w:r>
        <w:rPr>
          <w:vertAlign w:val="superscript"/>
        </w:rPr>
        <w:t>d</w:t>
      </w:r>
      <w:r>
        <w:rPr/>
        <w:t>, and V. N. Zirakashvili</w:t>
      </w:r>
      <w:r>
        <w:rPr>
          <w:vertAlign w:val="superscript"/>
        </w:rPr>
        <w:t>l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>
          <w:i/>
          <w:iCs/>
        </w:rPr>
        <w:t>a</w:t>
      </w:r>
      <w:r>
        <w:rPr/>
        <w:t xml:space="preserve"> Lomonosov Moscow State University, Skobeltsyn Institute of Nuclear Physics (MSU SINP), Moscow, Russia</w:t>
      </w:r>
    </w:p>
    <w:p>
      <w:pPr>
        <w:pStyle w:val="Normal"/>
        <w:bidi w:val="0"/>
        <w:jc w:val="start"/>
        <w:rPr/>
      </w:pPr>
      <w:r>
        <w:rPr>
          <w:i/>
          <w:iCs/>
        </w:rPr>
        <w:t>b</w:t>
      </w:r>
      <w:r>
        <w:rPr/>
        <w:t xml:space="preserve"> National Research Nuclear University MEPhI (Moscow Engineering Physics Institute), Moscow, Russia</w:t>
      </w:r>
    </w:p>
    <w:p>
      <w:pPr>
        <w:pStyle w:val="Normal"/>
        <w:bidi w:val="0"/>
        <w:jc w:val="start"/>
        <w:rPr/>
      </w:pPr>
      <w:r>
        <w:rPr>
          <w:i/>
          <w:iCs/>
        </w:rPr>
        <w:t>c</w:t>
      </w:r>
      <w:r>
        <w:rPr/>
        <w:t xml:space="preserve"> Special Astrophysical Observatory, Nizhnij Arkhyz, Zelenchukskiy region, Karachai-Cherkessian Republic, Russia</w:t>
      </w:r>
    </w:p>
    <w:p>
      <w:pPr>
        <w:pStyle w:val="Normal"/>
        <w:tabs>
          <w:tab w:val="clear" w:pos="709"/>
          <w:tab w:val="left" w:pos="5272" w:leader="none"/>
        </w:tabs>
        <w:bidi w:val="0"/>
        <w:jc w:val="start"/>
        <w:rPr/>
      </w:pPr>
      <w:r>
        <w:rPr>
          <w:i/>
          <w:iCs/>
        </w:rPr>
        <w:t>d</w:t>
      </w:r>
      <w:r>
        <w:rPr/>
        <w:t xml:space="preserve"> Institute of Applied Physics, Irkutsk State University (API ISU), Irkutsk, Russia</w:t>
      </w:r>
    </w:p>
    <w:p>
      <w:pPr>
        <w:pStyle w:val="Normal"/>
        <w:bidi w:val="0"/>
        <w:jc w:val="start"/>
        <w:rPr/>
      </w:pPr>
      <w:r>
        <w:rPr>
          <w:i/>
          <w:iCs/>
        </w:rPr>
        <w:t>e</w:t>
      </w:r>
      <w:r>
        <w:rPr/>
        <w:t xml:space="preserve"> Joint Institute for Nuclear Research, Joliot-Curie 6, Dubna, Moscow oblast, Russia</w:t>
      </w:r>
    </w:p>
    <w:p>
      <w:pPr>
        <w:pStyle w:val="Normal"/>
        <w:bidi w:val="0"/>
        <w:jc w:val="start"/>
        <w:rPr/>
      </w:pPr>
      <w:r>
        <w:rPr>
          <w:i/>
          <w:iCs/>
        </w:rPr>
        <w:t>f</w:t>
      </w:r>
      <w:r>
        <w:rPr/>
        <w:t xml:space="preserve"> Physics Department of the University of Torino and the National Institute of Nuclear Physics INFN, Torino, Italy</w:t>
      </w:r>
    </w:p>
    <w:p>
      <w:pPr>
        <w:pStyle w:val="Normal"/>
        <w:bidi w:val="0"/>
        <w:jc w:val="start"/>
        <w:rPr/>
      </w:pPr>
      <w:r>
        <w:rPr>
          <w:i/>
          <w:iCs/>
        </w:rPr>
        <w:t>g</w:t>
      </w:r>
      <w:r>
        <w:rPr/>
        <w:t xml:space="preserve"> Novosibirsk State University, Novosibirsk, Russia</w:t>
      </w:r>
    </w:p>
    <w:p>
      <w:pPr>
        <w:pStyle w:val="Normal"/>
        <w:bidi w:val="0"/>
        <w:jc w:val="start"/>
        <w:rPr/>
      </w:pPr>
      <w:r>
        <w:rPr>
          <w:i/>
          <w:iCs/>
        </w:rPr>
        <w:t>h</w:t>
      </w:r>
      <w:r>
        <w:rPr/>
        <w:t xml:space="preserve"> Budker Institute of Nuclear Physics of the Siberian Branch of the Russian Academy of Sciences, Novosibirsk, Russia</w:t>
      </w:r>
    </w:p>
    <w:p>
      <w:pPr>
        <w:pStyle w:val="Normal"/>
        <w:bidi w:val="0"/>
        <w:jc w:val="start"/>
        <w:rPr/>
      </w:pPr>
      <w:r>
        <w:rPr>
          <w:i/>
          <w:iCs/>
        </w:rPr>
        <w:t>i</w:t>
      </w:r>
      <w:r>
        <w:rPr/>
        <w:t xml:space="preserve"> Altai State University, Barnaul, Russia</w:t>
      </w:r>
    </w:p>
    <w:p>
      <w:pPr>
        <w:pStyle w:val="Normal"/>
        <w:bidi w:val="0"/>
        <w:jc w:val="start"/>
        <w:rPr/>
      </w:pPr>
      <w:r>
        <w:rPr>
          <w:i/>
          <w:iCs/>
        </w:rPr>
        <w:t>j</w:t>
      </w:r>
      <w:r>
        <w:rPr/>
        <w:t xml:space="preserve"> Institute for Nuclear Research of the Russian Academy of Sciences, Moscow, Russia</w:t>
      </w:r>
    </w:p>
    <w:p>
      <w:pPr>
        <w:pStyle w:val="Normal"/>
        <w:bidi w:val="0"/>
        <w:jc w:val="start"/>
        <w:rPr/>
      </w:pPr>
      <w:r>
        <w:rPr>
          <w:i/>
          <w:iCs/>
        </w:rPr>
        <w:t>k</w:t>
      </w:r>
      <w:r>
        <w:rPr/>
        <w:t xml:space="preserve"> Dubna State University, Dubna, Moscow region, Russia</w:t>
      </w:r>
    </w:p>
    <w:p>
      <w:pPr>
        <w:pStyle w:val="Normal"/>
        <w:bidi w:val="0"/>
        <w:jc w:val="start"/>
        <w:rPr/>
      </w:pPr>
      <w:r>
        <w:rPr>
          <w:i/>
          <w:iCs/>
        </w:rPr>
        <w:t>l</w:t>
      </w:r>
      <w:r>
        <w:rPr/>
        <w:t xml:space="preserve"> Pushkov Institute of Terrestrial Magnetism, Ionosphere and Radio Wave Propagation of the Siberian Branch of the Russian Academy of Sciences (IZMIRAN), Moscow, Troitsk, Russia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Ранее уже было продемонстрировано [Panov et al. Physics of Atomic Nuclei 84(2021)1037], что черенковский массив TAIGA-HiSCORE, изначально построенный для исследований в области космических лучей и гамма-астрономии сверхвысоких энергий методом широких атмосферных линий, может быть использован в обычной оптической астрономии для широкопольного поиска редких наносекундных оптических транзиентов астрофизического происхождения. Поле зрения установки составляет величину масштаба 1 стер, она способна детектировать транзиенты в видимом диапазоне света с потоком более 300 квантов/м</w:t>
      </w:r>
      <w:r>
        <w:rPr>
          <w:vertAlign w:val="superscript"/>
        </w:rPr>
        <w:t>2</w:t>
      </w:r>
      <w:r>
        <w:rPr/>
        <w:t xml:space="preserve">/нс и длительностью импульса от 10 нс. В статье подробно описана методика и результаты поисков оптических транзиентов с использованием черенковского массива TAIGA-HiSCORE с 2018 по 2022 год (четыре зимних сезона работы установки). Ни одного надежного кандидата в астрофизические оптические транзиенты не обнаружено. Установлена верхняя граница на поток искомых событий как </w:t>
      </w:r>
      <w:r>
        <w:rPr/>
        <w:t>~</w:t>
      </w:r>
      <w:r>
        <w:rPr/>
        <w:t>1</w:t>
      </w:r>
      <w:r>
        <w:rPr>
          <w:rFonts w:eastAsia="Times New Roman" w:cs="Times New Roman" w:ascii="Times New Roman" w:hAnsi="Times New Roman"/>
        </w:rPr>
        <w:t>∙</w:t>
      </w:r>
      <w:r>
        <w:rPr/>
        <w:t>10</w:t>
      </w:r>
      <w:r>
        <w:rPr>
          <w:rFonts w:eastAsia="Liberation Sans" w:cs="Liberation Sans" w:ascii="Liberation Sans" w:hAnsi="Liberation Sans"/>
          <w:vertAlign w:val="superscript"/>
        </w:rPr>
        <w:t>–</w:t>
      </w:r>
      <w:r>
        <w:rPr>
          <w:vertAlign w:val="superscript"/>
        </w:rPr>
        <w:t>3 </w:t>
      </w:r>
      <w:r>
        <w:rPr/>
        <w:t>1/стер/час.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/>
    <w:family w:val="roman"/>
    <w:pitch w:val="default"/>
  </w:font>
  <w:font w:name="Liberation Sans">
    <w:altName w:val="Arial"/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val="bestFit" w:percent="138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LibreOffice/24.2.7.2$Linux_X86_64 LibreOffice_project/420$Build-2</Application>
  <AppVersion>15.0000</AppVersion>
  <Pages>1</Pages>
  <Words>538</Words>
  <Characters>3061</Characters>
  <CharactersWithSpaces>3581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2025-12-06T18:37:01Z</dcterms:created>
  <dc:creator/>
  <dc:description/>
  <dc:language>ru-RU</dc:language>
  <cp:lastModifiedBy/>
  <dcterms:modified xsi:type="dcterms:W3CDTF">2025-12-06T18:59:12Z</dcterms:modified>
  <cp:revision>1</cp:revision>
  <dc:subject/>
  <dc:title/>
</cp:coreProperties>
</file>