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 Cyr" w:hAnsi="Times New Roman Cyr"/>
          <w:b w:val="false"/>
          <w:b w:val="false"/>
          <w:bCs w:val="false"/>
          <w:sz w:val="24"/>
          <w:szCs w:val="24"/>
        </w:rPr>
      </w:pPr>
      <w:r>
        <w:rPr>
          <w:rFonts w:ascii="Times New Roman Cyr" w:hAnsi="Times New Roman Cyr"/>
          <w:b w:val="false"/>
          <w:bCs w:val="false"/>
          <w:sz w:val="24"/>
          <w:szCs w:val="24"/>
        </w:rPr>
        <w:t>Секция 17. Небесная механика.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bookmarkStart w:id="0" w:name="_GoBack1"/>
      <w:bookmarkEnd w:id="0"/>
      <w:r>
        <w:rPr>
          <w:rFonts w:cs="Times New Roman" w:ascii="Times New Roman" w:hAnsi="Times New Roman"/>
          <w:b/>
          <w:bCs/>
          <w:sz w:val="24"/>
          <w:szCs w:val="24"/>
        </w:rPr>
        <w:t>Методика обнаружения околоземных астероидов, являющихся конгломератом</w:t>
      </w:r>
      <w:r>
        <w:rPr>
          <w:rStyle w:val="Poowx"/>
          <w:rFonts w:cs="Arial" w:ascii="Arial" w:hAnsi="Arial"/>
          <w:b/>
          <w:bCs/>
          <w:color w:val="1F1F1F"/>
          <w:sz w:val="21"/>
          <w:szCs w:val="21"/>
          <w:shd w:fill="FFFFFF" w:val="clear"/>
        </w:rPr>
        <w:t xml:space="preserve"> </w:t>
      </w:r>
      <w:r>
        <w:rPr>
          <w:rStyle w:val="Poowx"/>
          <w:rFonts w:cs="Times New Roman" w:ascii="Times New Roman" w:hAnsi="Times New Roman"/>
          <w:b/>
          <w:bCs/>
          <w:color w:val="1F1F1F"/>
          <w:sz w:val="24"/>
          <w:szCs w:val="24"/>
          <w:shd w:fill="FFFFFF" w:val="clear"/>
        </w:rPr>
        <w:t>обломков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Ю. Д. Медведев, С. Р. Павлов 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Институт прикладной астрономии Российской академии наук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</w:r>
    </w:p>
    <w:p>
      <w:pPr>
        <w:pStyle w:val="AstVest"/>
        <w:spacing w:lineRule="auto" w:line="240"/>
        <w:ind w:hanging="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ab/>
        <w:t>Астероиды типа rubble pile («груда щебня»), сближающиеся с Землей являются потенциальными источниками метеороидных частиц. Такие астероиды могут терять вещество со своей поверхности, формируя пылевой шлейф вдоль орбиты, столкновения с частицами которого космических аппаратов приводит к серьезным повреждениям космических аппаратов. Таким образом, исследование распределения пылевых шлейфов критически важно для оценки космических рисков и безопасности функционирования космической инфраструктуры, включая будущие станции на Луне.</w:t>
      </w:r>
    </w:p>
    <w:p>
      <w:pPr>
        <w:pStyle w:val="AstVest"/>
        <w:spacing w:lineRule="auto" w:line="240"/>
        <w:ind w:hanging="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ab/>
        <w:t>Предложен метод отбора околоземных астероидов (АСЗ), потенциально являющихся «грудой щебня» (</w:t>
      </w:r>
      <w:r>
        <w:rPr>
          <w:rFonts w:cs="Times New Roman"/>
          <w:sz w:val="24"/>
          <w:szCs w:val="24"/>
          <w:lang w:val="en-US"/>
        </w:rPr>
        <w:t>rubble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pile</w:t>
      </w:r>
      <w:r>
        <w:rPr>
          <w:rFonts w:cs="Times New Roman"/>
          <w:sz w:val="24"/>
          <w:szCs w:val="24"/>
        </w:rPr>
        <w:t>), на основании статистического анализа количества ассоциаций астероидов со спорадическими метеорами из базы данных</w:t>
      </w:r>
      <w:r>
        <w:rPr>
          <w:sz w:val="24"/>
          <w:szCs w:val="24"/>
        </w:rPr>
        <w:t xml:space="preserve"> глобальной метеорной сети (</w:t>
      </w:r>
      <w:r>
        <w:rPr>
          <w:sz w:val="24"/>
          <w:szCs w:val="24"/>
          <w:lang w:val="en-US"/>
        </w:rPr>
        <w:t>GMN</w:t>
      </w:r>
      <w:r>
        <w:rPr>
          <w:sz w:val="24"/>
          <w:szCs w:val="24"/>
        </w:rPr>
        <w:t>), а также величины минимального расстояния между орбитами Земли и астероида (</w:t>
      </w:r>
      <w:r>
        <w:rPr>
          <w:sz w:val="24"/>
          <w:szCs w:val="24"/>
          <w:lang w:val="en-US"/>
        </w:rPr>
        <w:t>MOID</w:t>
      </w:r>
      <w:r>
        <w:rPr>
          <w:sz w:val="24"/>
          <w:szCs w:val="24"/>
        </w:rPr>
        <w:t>), его звездной величины, и периода обращения астероида вокруг оси. Для каждого астероида было подсчитано количество ассоциаций, т.е. количество метеоров, у которых орбиты метеорных тел (метеороидов) близки к орбите астероида, и для которых значения критериев близости (</w:t>
      </w:r>
      <w:r>
        <w:rPr>
          <w:i/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-критериев) не превышают выбранных пороговых значений. В основе метода лежит предположение о том, что доля ассоциаций, в которых метеоры имеют генетическую связь с рассматриваемыми астероидами, существенна по отношению к общему числу ассоциаций для каждого из астероидов. Приводится таблица астероидов, имеющих наибольшее число ассоциаций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N</m:t>
        </m:r>
      </m:oMath>
      <w:r>
        <w:rPr>
          <w:rFonts w:eastAsia="宋体" w:eastAsiaTheme="minorEastAsia"/>
          <w:sz w:val="24"/>
          <w:szCs w:val="24"/>
        </w:rPr>
        <w:t>,</w:t>
      </w:r>
      <w:r>
        <w:rPr>
          <w:sz w:val="24"/>
          <w:szCs w:val="24"/>
        </w:rPr>
        <w:t xml:space="preserve"> удовлетворяющих накладываемым ограничениям, которые рекомендуются к дальнейшему исследованию с использованием поляриметрических, фотометрических и других видов наблюдений на проверку принадлежности данных астероидов к типу </w:t>
      </w:r>
      <w:r>
        <w:rPr>
          <w:sz w:val="24"/>
          <w:szCs w:val="24"/>
          <w:lang w:val="en-US"/>
        </w:rPr>
        <w:t>rubble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pile</w:t>
      </w:r>
      <w:r>
        <w:rPr>
          <w:sz w:val="24"/>
          <w:szCs w:val="24"/>
        </w:rPr>
        <w:t>.</w:t>
      </w:r>
    </w:p>
    <w:p>
      <w:pPr>
        <w:pStyle w:val="AstVest"/>
        <w:spacing w:lineRule="auto" w:line="240"/>
        <w:ind w:hanging="0"/>
        <w:rPr>
          <w:sz w:val="24"/>
          <w:szCs w:val="24"/>
        </w:rPr>
      </w:pPr>
      <w:r>
        <w:rPr>
          <w:sz w:val="24"/>
          <w:szCs w:val="24"/>
        </w:rPr>
        <w:t>Таблица. АСЗ с наибольшим числом ассоциаций и ограничений</w:t>
      </w:r>
    </w:p>
    <w:tbl>
      <w:tblPr>
        <w:tblStyle w:val="a9"/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1134"/>
        <w:gridCol w:w="991"/>
        <w:gridCol w:w="709"/>
        <w:gridCol w:w="850"/>
        <w:gridCol w:w="851"/>
        <w:gridCol w:w="777"/>
        <w:gridCol w:w="886"/>
        <w:gridCol w:w="886"/>
        <w:gridCol w:w="887"/>
      </w:tblGrid>
      <w:tr>
        <w:trPr>
          <w:trHeight w:val="279" w:hRule="atLeast"/>
        </w:trPr>
        <w:tc>
          <w:tcPr>
            <w:tcW w:w="1526" w:type="dxa"/>
            <w:tcBorders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Обозначение</w:t>
            </w:r>
          </w:p>
        </w:tc>
        <w:tc>
          <w:tcPr>
            <w:tcW w:w="1134" w:type="dxa"/>
            <w:tcBorders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 xml:space="preserve">N</m:t>
                </m:r>
              </m:oMath>
            </m:oMathPara>
          </w:p>
        </w:tc>
        <w:tc>
          <w:tcPr>
            <w:tcW w:w="991" w:type="dxa"/>
            <w:tcBorders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ru-RU" w:eastAsia="en-US" w:bidi="ar-SA"/>
              </w:rPr>
              <w:t>MOID</w:t>
            </w: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, а. е.</w:t>
            </w:r>
          </w:p>
        </w:tc>
        <w:tc>
          <w:tcPr>
            <w:tcW w:w="709" w:type="dxa"/>
            <w:tcBorders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T</w:t>
            </w: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, ч</w:t>
            </w:r>
          </w:p>
        </w:tc>
        <w:tc>
          <w:tcPr>
            <w:tcW w:w="850" w:type="dxa"/>
            <w:tcBorders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ru-RU" w:eastAsia="en-US" w:bidi="ar-SA"/>
              </w:rPr>
              <w:t>i</w:t>
            </w: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, град</w:t>
            </w:r>
          </w:p>
        </w:tc>
        <w:tc>
          <w:tcPr>
            <w:tcW w:w="851" w:type="dxa"/>
            <w:tcBorders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a</w:t>
            </w: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,</w:t>
            </w:r>
          </w:p>
          <w:p>
            <w:pPr>
              <w:pStyle w:val="AstVest1"/>
              <w:widowControl w:val="false"/>
              <w:spacing w:lineRule="auto" w:line="240"/>
              <w:jc w:val="center"/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а. е.</w:t>
            </w:r>
          </w:p>
        </w:tc>
        <w:tc>
          <w:tcPr>
            <w:tcW w:w="777" w:type="dxa"/>
            <w:tcBorders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e</w:t>
            </w:r>
          </w:p>
        </w:tc>
        <w:tc>
          <w:tcPr>
            <w:tcW w:w="886" w:type="dxa"/>
            <w:tcBorders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2"/>
                <w:szCs w:val="22"/>
                <w:lang w:val="en-US" w:eastAsia="en-US" w:bidi="ar-SA"/>
              </w:rPr>
              <w:t>H</w:t>
            </w:r>
            <w:r>
              <w:rPr>
                <w:rFonts w:eastAsia="Calibri" w:cs="Times New Roman"/>
                <w:kern w:val="0"/>
                <w:sz w:val="22"/>
                <w:szCs w:val="22"/>
                <w:vertAlign w:val="subscript"/>
                <w:lang w:val="ru-RU" w:eastAsia="en-US" w:bidi="ar-SA"/>
              </w:rPr>
              <w:t>0</w:t>
            </w:r>
          </w:p>
        </w:tc>
        <w:tc>
          <w:tcPr>
            <w:tcW w:w="886" w:type="dxa"/>
            <w:tcBorders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rFonts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/>
                <w:i/>
                <w:kern w:val="0"/>
                <w:sz w:val="22"/>
                <w:szCs w:val="22"/>
                <w:lang w:val="en-US" w:eastAsia="en-US" w:bidi="ar-SA"/>
              </w:rPr>
              <w:t>D</w:t>
            </w: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, км</w:t>
            </w:r>
          </w:p>
        </w:tc>
        <w:tc>
          <w:tcPr>
            <w:tcW w:w="887" w:type="dxa"/>
            <w:tcBorders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  <w:t>Двой-ной</w:t>
            </w:r>
          </w:p>
        </w:tc>
      </w:tr>
      <w:tr>
        <w:trPr>
          <w:trHeight w:val="279" w:hRule="atLeast"/>
        </w:trPr>
        <w:tc>
          <w:tcPr>
            <w:tcW w:w="152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(3200)</w:t>
            </w:r>
          </w:p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Фаэтон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5540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0.019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3.60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22.3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1.27</w:t>
            </w:r>
          </w:p>
        </w:tc>
        <w:tc>
          <w:tcPr>
            <w:tcW w:w="777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0.89</w:t>
            </w:r>
          </w:p>
        </w:tc>
        <w:tc>
          <w:tcPr>
            <w:tcW w:w="88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14.4</w:t>
            </w:r>
          </w:p>
        </w:tc>
        <w:tc>
          <w:tcPr>
            <w:tcW w:w="88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6.25</w:t>
            </w:r>
          </w:p>
        </w:tc>
        <w:tc>
          <w:tcPr>
            <w:tcW w:w="887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152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(3671)</w:t>
            </w:r>
          </w:p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Дионис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3619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0.022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2.71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13.5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2.20</w:t>
            </w:r>
          </w:p>
        </w:tc>
        <w:tc>
          <w:tcPr>
            <w:tcW w:w="777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0.54</w:t>
            </w:r>
          </w:p>
        </w:tc>
        <w:tc>
          <w:tcPr>
            <w:tcW w:w="88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16.5</w:t>
            </w:r>
          </w:p>
        </w:tc>
        <w:tc>
          <w:tcPr>
            <w:tcW w:w="88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1.50</w:t>
            </w:r>
          </w:p>
        </w:tc>
        <w:tc>
          <w:tcPr>
            <w:tcW w:w="887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</w:t>
            </w:r>
          </w:p>
        </w:tc>
      </w:tr>
      <w:tr>
        <w:trPr>
          <w:trHeight w:val="279" w:hRule="atLeast"/>
        </w:trPr>
        <w:tc>
          <w:tcPr>
            <w:tcW w:w="152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(2015 CA1)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3366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0.039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3.15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10.7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2.81</w:t>
            </w:r>
          </w:p>
        </w:tc>
        <w:tc>
          <w:tcPr>
            <w:tcW w:w="777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0.64</w:t>
            </w:r>
          </w:p>
        </w:tc>
        <w:tc>
          <w:tcPr>
            <w:tcW w:w="88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20.6</w:t>
            </w:r>
          </w:p>
        </w:tc>
        <w:tc>
          <w:tcPr>
            <w:tcW w:w="88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887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152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(523775)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3113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0.021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3.28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12.6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1.88</w:t>
            </w:r>
          </w:p>
        </w:tc>
        <w:tc>
          <w:tcPr>
            <w:tcW w:w="777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0.48</w:t>
            </w:r>
          </w:p>
        </w:tc>
        <w:tc>
          <w:tcPr>
            <w:tcW w:w="88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19.1</w:t>
            </w:r>
          </w:p>
        </w:tc>
        <w:tc>
          <w:tcPr>
            <w:tcW w:w="88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0.28</w:t>
            </w:r>
          </w:p>
        </w:tc>
        <w:tc>
          <w:tcPr>
            <w:tcW w:w="887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</w:t>
            </w:r>
          </w:p>
        </w:tc>
      </w:tr>
      <w:tr>
        <w:trPr>
          <w:trHeight w:val="279" w:hRule="atLeast"/>
        </w:trPr>
        <w:tc>
          <w:tcPr>
            <w:tcW w:w="152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(348400)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2854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0.048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2.41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10.8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2.23</w:t>
            </w:r>
          </w:p>
        </w:tc>
        <w:tc>
          <w:tcPr>
            <w:tcW w:w="777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0.54</w:t>
            </w:r>
          </w:p>
        </w:tc>
        <w:tc>
          <w:tcPr>
            <w:tcW w:w="88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17.4</w:t>
            </w:r>
          </w:p>
        </w:tc>
        <w:tc>
          <w:tcPr>
            <w:tcW w:w="88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887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</w:t>
            </w:r>
          </w:p>
        </w:tc>
      </w:tr>
      <w:tr>
        <w:trPr>
          <w:trHeight w:val="279" w:hRule="atLeast"/>
        </w:trPr>
        <w:tc>
          <w:tcPr>
            <w:tcW w:w="152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(416591)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2495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0.028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4.68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11.0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1.87</w:t>
            </w:r>
          </w:p>
        </w:tc>
        <w:tc>
          <w:tcPr>
            <w:tcW w:w="777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0.73</w:t>
            </w:r>
          </w:p>
        </w:tc>
        <w:tc>
          <w:tcPr>
            <w:tcW w:w="88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18.7</w:t>
            </w:r>
          </w:p>
        </w:tc>
        <w:tc>
          <w:tcPr>
            <w:tcW w:w="88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887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152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(2003 OC3)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2038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0.045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2.36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13.1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2.25</w:t>
            </w:r>
          </w:p>
        </w:tc>
        <w:tc>
          <w:tcPr>
            <w:tcW w:w="777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0.60</w:t>
            </w:r>
          </w:p>
        </w:tc>
        <w:tc>
          <w:tcPr>
            <w:tcW w:w="88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18.8</w:t>
            </w:r>
          </w:p>
        </w:tc>
        <w:tc>
          <w:tcPr>
            <w:tcW w:w="88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887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152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(86819)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1896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0.017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3.02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10.1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1.99</w:t>
            </w:r>
          </w:p>
        </w:tc>
        <w:tc>
          <w:tcPr>
            <w:tcW w:w="777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0.50</w:t>
            </w:r>
          </w:p>
        </w:tc>
        <w:tc>
          <w:tcPr>
            <w:tcW w:w="88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17.5</w:t>
            </w:r>
          </w:p>
        </w:tc>
        <w:tc>
          <w:tcPr>
            <w:tcW w:w="88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0.80</w:t>
            </w:r>
          </w:p>
        </w:tc>
        <w:tc>
          <w:tcPr>
            <w:tcW w:w="887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152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(29075)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1774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0.039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2.12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12.2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1.70</w:t>
            </w:r>
          </w:p>
        </w:tc>
        <w:tc>
          <w:tcPr>
            <w:tcW w:w="777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0.51</w:t>
            </w:r>
          </w:p>
        </w:tc>
        <w:tc>
          <w:tcPr>
            <w:tcW w:w="88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17.3</w:t>
            </w:r>
          </w:p>
        </w:tc>
        <w:tc>
          <w:tcPr>
            <w:tcW w:w="88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1.30</w:t>
            </w:r>
          </w:p>
        </w:tc>
        <w:tc>
          <w:tcPr>
            <w:tcW w:w="887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  <w:tr>
        <w:trPr>
          <w:trHeight w:val="279" w:hRule="atLeast"/>
        </w:trPr>
        <w:tc>
          <w:tcPr>
            <w:tcW w:w="152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(612098)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1364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0.003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3.07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10.9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1.68</w:t>
            </w:r>
          </w:p>
        </w:tc>
        <w:tc>
          <w:tcPr>
            <w:tcW w:w="777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0.64</w:t>
            </w:r>
          </w:p>
        </w:tc>
        <w:tc>
          <w:tcPr>
            <w:tcW w:w="88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19.8</w:t>
            </w:r>
          </w:p>
        </w:tc>
        <w:tc>
          <w:tcPr>
            <w:tcW w:w="886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887" w:type="dxa"/>
            <w:tcBorders/>
            <w:vAlign w:val="center"/>
          </w:tcPr>
          <w:p>
            <w:pPr>
              <w:pStyle w:val="AstVest1"/>
              <w:widowControl w:val="false"/>
              <w:spacing w:lineRule="auto" w:line="240"/>
              <w:jc w:val="center"/>
              <w:rPr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+</w:t>
            </w:r>
          </w:p>
        </w:tc>
      </w:tr>
    </w:tbl>
    <w:p>
      <w:pPr>
        <w:pStyle w:val="AstVest"/>
        <w:spacing w:lineRule="auto" w:line="240"/>
        <w:ind w:hanging="0"/>
        <w:rPr>
          <w:sz w:val="24"/>
          <w:szCs w:val="24"/>
        </w:rPr>
      </w:pPr>
      <w:r>
        <w:rPr>
          <w:sz w:val="24"/>
          <w:szCs w:val="24"/>
        </w:rPr>
        <w:t xml:space="preserve">Обозначения: </w:t>
      </w:r>
      <w:r>
        <w:rPr>
          <w:i/>
          <w:sz w:val="24"/>
          <w:szCs w:val="24"/>
          <w:lang w:val="en-US"/>
        </w:rPr>
        <w:t>MOID</w:t>
      </w:r>
      <w:r>
        <w:rPr>
          <w:sz w:val="24"/>
          <w:szCs w:val="24"/>
        </w:rPr>
        <w:t xml:space="preserve"> – </w:t>
      </w:r>
      <w:r>
        <w:rPr>
          <w:rFonts w:eastAsia="宋体" w:eastAsiaTheme="minorEastAsia"/>
          <w:sz w:val="24"/>
          <w:szCs w:val="24"/>
        </w:rPr>
        <w:t xml:space="preserve">минимального расстояния между орбитами Земли и астероида, </w:t>
      </w:r>
      <w:r>
        <w:rPr>
          <w:rFonts w:eastAsia="宋体" w:eastAsiaTheme="minorEastAsia"/>
          <w:i/>
          <w:sz w:val="24"/>
          <w:szCs w:val="24"/>
          <w:lang w:val="en-US"/>
        </w:rPr>
        <w:t>T</w:t>
      </w:r>
      <w:r>
        <w:rPr>
          <w:rFonts w:eastAsia="宋体" w:eastAsiaTheme="minorEastAsia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период осевого вращения, </w:t>
      </w:r>
      <w:r>
        <w:rPr>
          <w:i/>
          <w:sz w:val="24"/>
          <w:szCs w:val="24"/>
          <w:lang w:val="en-US"/>
        </w:rPr>
        <w:t>i</w:t>
      </w:r>
      <w:r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  <w:lang w:val="en-US"/>
        </w:rPr>
        <w:t>a</w:t>
      </w:r>
      <w:r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  <w:lang w:val="en-US"/>
        </w:rPr>
        <w:t>e</w:t>
      </w:r>
      <w:r>
        <w:rPr>
          <w:sz w:val="24"/>
          <w:szCs w:val="24"/>
        </w:rPr>
        <w:t xml:space="preserve"> –  наклон, большая полуось и эксцентриситет орбиты астероида, </w:t>
      </w:r>
      <w:r>
        <w:rPr>
          <w:rFonts w:cs="Times New Roman"/>
          <w:i/>
          <w:sz w:val="24"/>
          <w:szCs w:val="24"/>
          <w:lang w:val="en-US"/>
        </w:rPr>
        <w:t>H</w:t>
      </w:r>
      <w:r>
        <w:rPr>
          <w:rFonts w:cs="Times New Roman"/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, </w:t>
      </w:r>
      <w:r>
        <w:rPr>
          <w:i/>
          <w:sz w:val="24"/>
          <w:szCs w:val="24"/>
          <w:lang w:val="en-US"/>
        </w:rPr>
        <w:t>D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– абсолютная звездная величина и диаметр астероида, указание на двойственность астероида. </w:t>
      </w:r>
    </w:p>
    <w:p>
      <w:pPr>
        <w:pStyle w:val="AstVest"/>
        <w:spacing w:lineRule="auto" w:line="240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ascii="Times New Roman CYR" w:hAnsi="Times New Roman CYR"/>
          <w:b w:val="false"/>
          <w:bCs w:val="false"/>
          <w:sz w:val="24"/>
          <w:szCs w:val="24"/>
        </w:rPr>
        <w:t>Результаты</w:t>
      </w:r>
      <w:r>
        <w:rPr>
          <w:rFonts w:ascii="Times New Roman CYR" w:hAnsi="Times New Roman CYR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Times New Roman CYR" w:hAnsi="Times New Roman CYR"/>
          <w:b w:val="false"/>
          <w:bCs w:val="false"/>
          <w:sz w:val="24"/>
          <w:szCs w:val="24"/>
        </w:rPr>
        <w:t>исследования</w:t>
      </w:r>
      <w:r>
        <w:rPr>
          <w:rFonts w:ascii="Times New Roman CYR" w:hAnsi="Times New Roman CYR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Times New Roman CYR" w:hAnsi="Times New Roman CYR"/>
          <w:b w:val="false"/>
          <w:bCs w:val="false"/>
          <w:sz w:val="24"/>
          <w:szCs w:val="24"/>
        </w:rPr>
        <w:t>опубликованы</w:t>
      </w:r>
      <w:r>
        <w:rPr>
          <w:rFonts w:ascii="Times New Roman CYR" w:hAnsi="Times New Roman CYR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Times New Roman CYR" w:hAnsi="Times New Roman CYR"/>
          <w:b w:val="false"/>
          <w:bCs w:val="false"/>
          <w:sz w:val="24"/>
          <w:szCs w:val="24"/>
        </w:rPr>
        <w:t>в</w:t>
      </w:r>
      <w:r>
        <w:rPr>
          <w:rFonts w:ascii="Times New Roman CYR" w:hAnsi="Times New Roman CYR"/>
          <w:b w:val="false"/>
          <w:bCs w:val="false"/>
          <w:sz w:val="24"/>
          <w:szCs w:val="24"/>
          <w:lang w:val="en-US"/>
        </w:rPr>
        <w:t xml:space="preserve"> статье:</w:t>
      </w:r>
    </w:p>
    <w:p>
      <w:pPr>
        <w:pStyle w:val="AstVest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hanging="0"/>
        <w:jc w:val="both"/>
        <w:rPr>
          <w:sz w:val="32"/>
          <w:szCs w:val="32"/>
        </w:rPr>
      </w:pPr>
      <w:r>
        <w:rPr>
          <w:rStyle w:val="Style15"/>
          <w:rFonts w:cs="Times New Roman" w:ascii="Times New Roman Cyr" w:hAnsi="Times New Roman Cyr"/>
          <w:i/>
          <w:iCs/>
          <w:color w:val="000000"/>
          <w:sz w:val="24"/>
          <w:szCs w:val="24"/>
          <w:u w:val="none"/>
          <w:lang w:val="en-US"/>
        </w:rPr>
        <w:t>Медведев Ю.Д., Павлов С.Р.</w:t>
      </w:r>
      <w:r>
        <w:rPr>
          <w:rStyle w:val="Style15"/>
          <w:rFonts w:cs="Times New Roman" w:ascii="Times New Roman Cyr" w:hAnsi="Times New Roman Cyr"/>
          <w:color w:val="000000"/>
          <w:sz w:val="24"/>
          <w:szCs w:val="24"/>
          <w:u w:val="none"/>
          <w:lang w:val="en-US"/>
        </w:rPr>
        <w:t xml:space="preserve"> О</w:t>
      </w:r>
      <w:r>
        <w:rPr>
          <w:rStyle w:val="Style15"/>
          <w:rFonts w:cs="Times New Roman" w:ascii="Times New Roman Cyr" w:hAnsi="Times New Roman Cyr"/>
          <w:bCs/>
          <w:color w:val="000000"/>
          <w:sz w:val="24"/>
          <w:szCs w:val="24"/>
          <w:u w:val="none"/>
          <w:lang w:val="en-US"/>
        </w:rPr>
        <w:t xml:space="preserve"> связи спорадических метеоров с астероидами, сближающимися с Землей // </w:t>
      </w:r>
      <w:r>
        <w:rPr>
          <w:rStyle w:val="Style15"/>
          <w:rFonts w:cs="Times New Roman" w:ascii="Times New Roman Cyr" w:hAnsi="Times New Roman Cyr"/>
          <w:color w:val="000000"/>
          <w:sz w:val="24"/>
          <w:szCs w:val="24"/>
          <w:u w:val="none"/>
          <w:lang w:val="en-US"/>
        </w:rPr>
        <w:t>Астрономический вестник. Исследования солнечной системы. 2025.</w:t>
      </w:r>
      <w:r>
        <w:rPr>
          <w:rStyle w:val="Style15"/>
          <w:rFonts w:cs="Arial" w:ascii="Times New Roman Cyr" w:hAnsi="Times New Roman Cyr"/>
          <w:color w:val="222222"/>
          <w:sz w:val="24"/>
          <w:szCs w:val="24"/>
          <w:u w:val="none"/>
          <w:shd w:fill="FFFFFF" w:val="clear"/>
          <w:lang w:val="en-US"/>
        </w:rPr>
        <w:t xml:space="preserve"> Т. 59. №. 4. С. 366-374</w:t>
      </w:r>
      <w:r>
        <w:rPr>
          <w:rStyle w:val="Style15"/>
          <w:rFonts w:cs="Times New Roman" w:ascii="Times New Roman Cyr" w:hAnsi="Times New Roman Cyr"/>
          <w:color w:val="000000"/>
          <w:sz w:val="24"/>
          <w:szCs w:val="24"/>
          <w:u w:val="none"/>
          <w:shd w:fill="FFFFFF" w:val="clear"/>
          <w:lang w:val="en-US"/>
        </w:rPr>
        <w:t>. DOI: 10.31857/S0320930X25040067</w:t>
      </w:r>
    </w:p>
    <w:p>
      <w:pPr>
        <w:pStyle w:val="AstVest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/>
        <w:jc w:val="both"/>
        <w:rPr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 xml:space="preserve">Работа проведена в рамках госзадания по теме НИР </w:t>
      </w:r>
      <w:r>
        <w:rPr>
          <w:rFonts w:ascii="Times New Roman CYR" w:hAnsi="Times New Roman CYR"/>
          <w:sz w:val="24"/>
          <w:szCs w:val="24"/>
          <w:lang w:val="en-US"/>
        </w:rPr>
        <w:t>FFUZ</w:t>
      </w:r>
      <w:r>
        <w:rPr>
          <w:rFonts w:ascii="Times New Roman CYR" w:hAnsi="Times New Roman CYR"/>
          <w:sz w:val="24"/>
          <w:szCs w:val="24"/>
        </w:rPr>
        <w:t xml:space="preserve">-2024-0012 «Определение физических и динамических параметров астероидов и комет методами оптической астрометрии, радиоастрометрии и фотометрии»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hanging="0"/>
        <w:jc w:val="both"/>
        <w:rPr>
          <w:sz w:val="32"/>
          <w:szCs w:val="32"/>
        </w:rPr>
      </w:pPr>
      <w:r>
        <w:rPr>
          <w:rStyle w:val="Style15"/>
          <w:rFonts w:cs="Times New Roman" w:ascii="Times New Roman CYR" w:hAnsi="Times New Roman CYR"/>
          <w:color w:val="000000"/>
          <w:sz w:val="24"/>
          <w:szCs w:val="24"/>
          <w:u w:val="none"/>
          <w:lang w:val="en-US"/>
        </w:rPr>
        <w:t>Результат получен в рамках программы фундаментальных научных исследований 2021-2030, 1.3.7.5. Планеты и планетные системы.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hanging="0"/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669" w:right="669" w:gutter="0" w:header="0" w:top="646" w:footer="0" w:bottom="64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PT Astra Serif"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 Cyr">
    <w:charset w:val="01"/>
    <w:family w:val="roman"/>
    <w:pitch w:val="variable"/>
  </w:font>
  <w:font w:name="Arial">
    <w:charset w:val="01"/>
    <w:family w:val="roman"/>
    <w:pitch w:val="variable"/>
  </w:font>
  <w:font w:name="Times New Roman CY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qFormat/>
    <w:rsid w:val="00cd2047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Style15">
    <w:name w:val="Интернет-ссылка"/>
    <w:basedOn w:val="DefaultParagraphFont"/>
    <w:qFormat/>
    <w:rPr>
      <w:color w:val="0000FF" w:themeColor="hyperlink"/>
      <w:u w:val="single"/>
    </w:rPr>
  </w:style>
  <w:style w:type="character" w:styleId="Poowx">
    <w:name w:val="poowx"/>
    <w:basedOn w:val="DefaultParagraphFont"/>
    <w:qFormat/>
    <w:rPr/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PT Astra Serif" w:hAnsi="PT Astra Serif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16">
    <w:name w:val="Заголовок"/>
    <w:basedOn w:val="Normal"/>
    <w:next w:val="TextBody"/>
    <w:qFormat/>
    <w:pPr>
      <w:keepNext w:val="true"/>
      <w:spacing w:before="240" w:after="120"/>
    </w:pPr>
    <w:rPr>
      <w:rFonts w:ascii="PT Astra Serif" w:hAnsi="PT Astra Serif" w:eastAsia="Noto Sans CJK SC" w:cs="Lohit Devanagari"/>
      <w:sz w:val="28"/>
      <w:szCs w:val="28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Lohit Devanagari"/>
    </w:rPr>
  </w:style>
  <w:style w:type="paragraph" w:styleId="BalloonText">
    <w:name w:val="Balloon Text"/>
    <w:basedOn w:val="Normal"/>
    <w:link w:val="Style14"/>
    <w:qFormat/>
    <w:rsid w:val="00cd20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stVest">
    <w:name w:val="AstVest_Текст"/>
    <w:basedOn w:val="TextBody"/>
    <w:qFormat/>
    <w:pPr>
      <w:spacing w:lineRule="auto" w:line="360" w:before="0" w:after="0"/>
      <w:ind w:firstLine="709"/>
    </w:pPr>
    <w:rPr>
      <w:rFonts w:ascii="Times New Roman" w:hAnsi="Times New Roman"/>
      <w:sz w:val="24"/>
    </w:rPr>
  </w:style>
  <w:style w:type="paragraph" w:styleId="AstVest1">
    <w:name w:val="AstVest_Таблицы"/>
    <w:basedOn w:val="AstVest"/>
    <w:qFormat/>
    <w:pPr>
      <w:spacing w:lineRule="auto" w:line="240"/>
      <w:ind w:hanging="0"/>
    </w:pPr>
    <w:rPr>
      <w:rFonts w:cs="Calibri"/>
      <w:color w:val="000000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paragraph" w:styleId="Style20">
    <w:name w:val="Текст в заданном формате"/>
    <w:basedOn w:val="Normal"/>
    <w:qFormat/>
    <w:pPr>
      <w:widowControl w:val="false"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overflowPunct w:val="false"/>
      <w:spacing w:lineRule="auto" w:line="240" w:before="0" w:after="0"/>
      <w:jc w:val="right"/>
    </w:pPr>
    <w:rPr>
      <w:rFonts w:ascii="Liberation Mono" w:hAnsi="Liberation Mono" w:eastAsia="Liberation Mono" w:cs="Liberation Mono"/>
      <w:color w:val="000000"/>
      <w:kern w:val="2"/>
      <w:sz w:val="20"/>
      <w:szCs w:val="20"/>
      <w:lang w:eastAsia="hi-IN" w:bidi="hi-IN"/>
    </w:rPr>
  </w:style>
  <w:style w:type="paragraph" w:styleId="Text">
    <w:name w:val="text"/>
    <w:basedOn w:val="Normal"/>
    <w:qFormat/>
    <w:pPr>
      <w:spacing w:lineRule="auto" w:line="240" w:before="0" w:after="120"/>
    </w:pPr>
    <w:rPr>
      <w:rFonts w:ascii="Times New Roman" w:hAnsi="Times New Roman" w:eastAsia="Calibri" w:cs="Times New Roman"/>
      <w:sz w:val="24"/>
      <w:lang w:eastAsia="zh-CN"/>
    </w:rPr>
  </w:style>
  <w:style w:type="paragraph" w:styleId="Figure">
    <w:name w:val="figure"/>
    <w:basedOn w:val="Normal"/>
    <w:qFormat/>
    <w:pPr>
      <w:spacing w:lineRule="auto" w:line="240" w:before="120" w:after="240"/>
      <w:jc w:val="center"/>
    </w:pPr>
    <w:rPr>
      <w:rFonts w:ascii="Times New Roman" w:hAnsi="Times New Roman" w:eastAsia="Calibri" w:cs="Times New Roman"/>
      <w:lang w:eastAsia="zh-CN"/>
    </w:rPr>
  </w:style>
  <w:style w:type="paragraph" w:styleId="TitleArticle">
    <w:name w:val="TitleArticle"/>
    <w:basedOn w:val="Normal"/>
    <w:qFormat/>
    <w:pPr>
      <w:spacing w:lineRule="auto" w:line="360" w:before="240" w:after="360"/>
      <w:jc w:val="center"/>
    </w:pPr>
    <w:rPr>
      <w:rFonts w:ascii="Times New Roman" w:hAnsi="Times New Roman" w:eastAsia="Times New Roman" w:cs="Times New Roman"/>
      <w:b/>
      <w:caps/>
      <w:sz w:val="28"/>
      <w:szCs w:val="20"/>
      <w:lang w:eastAsia="zh-CN"/>
    </w:rPr>
  </w:style>
  <w:style w:type="paragraph" w:styleId="Style21">
    <w:name w:val="абстракт"/>
    <w:basedOn w:val="Normal"/>
    <w:qFormat/>
    <w:pPr>
      <w:suppressAutoHyphens w:val="true"/>
      <w:spacing w:lineRule="auto" w:line="240" w:before="0" w:after="0"/>
      <w:ind w:left="567" w:right="567" w:firstLine="397"/>
    </w:pPr>
    <w:rPr>
      <w:rFonts w:ascii="Times New Roman" w:hAnsi="Times New Roman" w:eastAsia="Times New Roman" w:cs="Times New Roman"/>
      <w:szCs w:val="24"/>
      <w:lang w:eastAsia="zh-CN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Application>LibreOffice/7.3.7.2$Linux_X86_64 LibreOffice_project/30$Build-2</Application>
  <AppVersion>15.0000</AppVersion>
  <Pages>1</Pages>
  <Words>462</Words>
  <Characters>2939</Characters>
  <CharactersWithSpaces>3288</CharactersWithSpaces>
  <Paragraphs>125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2025-11-27T08:42:00Z</dcterms:created>
  <dc:creator>Asus</dc:creator>
  <dc:description/>
  <dc:language>ru-RU</dc:language>
  <cp:lastModifiedBy/>
  <cp:lastPrinted>2025-12-09T14:17:03Z</cp:lastPrinted>
  <dcterms:modified xsi:type="dcterms:W3CDTF">2025-12-12T10:46:47Z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F4979A9F167F4649977BBD1F3858692C_11</vt:lpwstr>
  </property>
  <property fmtid="{D5CDD505-2E9C-101B-9397-08002B2CF9AE}" pid="3" name="KSOProductBuildVer">
    <vt:lpwstr>1049-12.2.0.18911</vt:lpwstr>
  </property>
</Properties>
</file>